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3F2696" w:rsidRPr="00B43631" w:rsidTr="003F2696">
        <w:tc>
          <w:tcPr>
            <w:tcW w:w="5039" w:type="dxa"/>
          </w:tcPr>
          <w:p w:rsidR="003F2696" w:rsidRPr="008F3AEC" w:rsidRDefault="003F2696" w:rsidP="003F2696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3F2696" w:rsidRPr="008F3AEC" w:rsidRDefault="003F2696" w:rsidP="003F269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3F2696" w:rsidRPr="008F3AEC" w:rsidRDefault="003F2696" w:rsidP="003F2696">
      <w:pPr>
        <w:ind w:left="5909" w:hanging="5909"/>
        <w:jc w:val="center"/>
        <w:rPr>
          <w:b/>
          <w:lang w:val="ru-RU"/>
        </w:rPr>
      </w:pPr>
    </w:p>
    <w:p w:rsidR="003F2696" w:rsidRPr="008F3AEC" w:rsidRDefault="003F2696" w:rsidP="003F2696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3F2696" w:rsidRPr="008F3AEC" w:rsidRDefault="003F2696" w:rsidP="003F2696">
      <w:pPr>
        <w:pStyle w:val="a3"/>
        <w:rPr>
          <w:rStyle w:val="FontStyle12"/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о</w:t>
      </w:r>
      <w:r w:rsidRPr="008F3AEC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департаменту </w:t>
      </w:r>
    </w:p>
    <w:p w:rsidR="003F2696" w:rsidRPr="008F3AEC" w:rsidRDefault="003F2696" w:rsidP="003F2696">
      <w:pPr>
        <w:pStyle w:val="a3"/>
        <w:rPr>
          <w:b/>
          <w:sz w:val="24"/>
          <w:szCs w:val="24"/>
          <w:lang w:val="ru-RU"/>
        </w:rPr>
      </w:pPr>
      <w:r w:rsidRPr="008F3AEC">
        <w:rPr>
          <w:rStyle w:val="FontStyle12"/>
          <w:b/>
          <w:sz w:val="24"/>
          <w:szCs w:val="24"/>
          <w:lang w:val="ru-RU"/>
        </w:rPr>
        <w:t xml:space="preserve">здравоохранения и социальной защиты населения </w:t>
      </w:r>
      <w:r w:rsidRPr="008F3AEC">
        <w:rPr>
          <w:b/>
          <w:sz w:val="24"/>
          <w:szCs w:val="24"/>
          <w:lang w:val="ru-RU"/>
        </w:rPr>
        <w:t>Белгородской области по должности «воспитатель» (Дом ребёнка)</w:t>
      </w:r>
    </w:p>
    <w:p w:rsidR="003F2696" w:rsidRPr="008F3AEC" w:rsidRDefault="003F2696" w:rsidP="003F2696">
      <w:pPr>
        <w:pStyle w:val="a3"/>
        <w:rPr>
          <w:b/>
          <w:sz w:val="22"/>
          <w:lang w:val="ru-RU"/>
        </w:rPr>
      </w:pPr>
    </w:p>
    <w:tbl>
      <w:tblPr>
        <w:tblW w:w="15877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9"/>
        <w:gridCol w:w="3640"/>
        <w:gridCol w:w="2262"/>
        <w:gridCol w:w="1556"/>
        <w:gridCol w:w="1881"/>
        <w:gridCol w:w="1849"/>
        <w:gridCol w:w="52"/>
        <w:gridCol w:w="1800"/>
        <w:gridCol w:w="2134"/>
      </w:tblGrid>
      <w:tr w:rsidR="003F2696" w:rsidRPr="00B43631" w:rsidTr="00F30191">
        <w:trPr>
          <w:trHeight w:val="370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F2696" w:rsidRPr="008F3AEC" w:rsidTr="00F30191">
        <w:trPr>
          <w:jc w:val="center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3F2696" w:rsidRPr="00B43631" w:rsidTr="00F30191">
        <w:trPr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обучающимися/воспитанниками образовательных программ по итогам мониторингов, проводимых организацией</w:t>
            </w:r>
          </w:p>
        </w:tc>
      </w:tr>
      <w:tr w:rsidR="003F2696" w:rsidRPr="008F3AEC" w:rsidTr="00F30191">
        <w:trPr>
          <w:trHeight w:val="52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нервно-психического развития воспитанников (3 года)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contextualSpacing/>
              <w:jc w:val="both"/>
            </w:pPr>
            <w:r w:rsidRPr="008F3AEC">
              <w:t>Динамика развития менее 50%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Положительная динамика развития от 50 до 64%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Положительная динамика развития от 65 до 75%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contextualSpacing/>
              <w:jc w:val="both"/>
            </w:pPr>
            <w:r w:rsidRPr="008F3AEC">
              <w:t>Положительная динамика развития  более 75%</w:t>
            </w:r>
          </w:p>
        </w:tc>
      </w:tr>
      <w:tr w:rsidR="003F2696" w:rsidRPr="00B43631" w:rsidTr="00F30191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работы по снижению уровня заболеваемости (3года)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Показатель заболеваемости одного ребёнка  выше среднестатистического в доме ребёнка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jc w:val="both"/>
              <w:rPr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Показатель заболеваемости одного ребёнка на уровне среднестатистического в доме ребёнка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Показатель заболеваемости одного ребёнка ниже среднестатистического в доме ребёнка</w:t>
            </w:r>
          </w:p>
        </w:tc>
      </w:tr>
      <w:tr w:rsidR="003F2696" w:rsidRPr="00B43631" w:rsidTr="00F30191">
        <w:trPr>
          <w:trHeight w:val="1064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Создание условий для социализации и самореализации воспитанников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руководителя, в которой отражена занятость воспитанников в кружковой и клубной деятельности, массовых мероприятиях, </w:t>
            </w:r>
            <w:r w:rsidRPr="008F3AEC">
              <w:rPr>
                <w:lang w:val="ru-RU"/>
              </w:rPr>
              <w:lastRenderedPageBreak/>
              <w:t>походах, экскурсиях, посещение театров, выставок и т.д.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jc w:val="both"/>
            </w:pPr>
            <w:r w:rsidRPr="008F3AEC">
              <w:t>Охвачено менее 25% детей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Охват детей достигает</w:t>
            </w:r>
          </w:p>
          <w:p w:rsidR="003F2696" w:rsidRPr="008F3AEC" w:rsidRDefault="003F2696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26 до 45%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Охват детей достигает от 46%  до 75%,</w:t>
            </w:r>
          </w:p>
          <w:p w:rsidR="003F2696" w:rsidRPr="008F3AEC" w:rsidRDefault="003F2696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разработаны механизмы мотивации воспитанников и созданы условия для свободного </w:t>
            </w:r>
            <w:r w:rsidRPr="008F3AEC">
              <w:rPr>
                <w:lang w:val="ru-RU"/>
              </w:rPr>
              <w:lastRenderedPageBreak/>
              <w:t>выбора многообразия видов деятельности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>Охват детей достигает более 75%,</w:t>
            </w:r>
          </w:p>
          <w:p w:rsidR="003F2696" w:rsidRPr="008F3AEC" w:rsidRDefault="003F2696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введены новые формы отдыха и оздоровления детей в каникулярное и свободное от учебы время, </w:t>
            </w:r>
            <w:r w:rsidRPr="008F3AEC">
              <w:rPr>
                <w:lang w:val="ru-RU"/>
              </w:rPr>
              <w:lastRenderedPageBreak/>
              <w:t>обеспечена система социального партнерства учреждений социального воспитания</w:t>
            </w:r>
          </w:p>
        </w:tc>
      </w:tr>
      <w:tr w:rsidR="003F2696" w:rsidRPr="00B43631" w:rsidTr="00F30191">
        <w:trPr>
          <w:trHeight w:val="407"/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F2696" w:rsidRPr="00B43631" w:rsidTr="00F30191">
        <w:trPr>
          <w:trHeight w:val="40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Обеспечение безопасных условий пребывания детей в учреждении.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фактов травматизма детей, чрезвычайных происшествий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3F2696" w:rsidRPr="00B43631" w:rsidTr="00F30191">
        <w:trPr>
          <w:trHeight w:val="40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Качество организации развивающей среды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Справка руководителя учреждения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Недостаточно соответствует программным и возрастным особенностям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Соответствует программным и возрастным особенностям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Осуществляется творческий подход, реализация инновационных технологий</w:t>
            </w:r>
          </w:p>
        </w:tc>
      </w:tr>
      <w:tr w:rsidR="003F2696" w:rsidRPr="008F3AEC" w:rsidTr="00F30191">
        <w:trPr>
          <w:trHeight w:val="1435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Создание условий для получения образования детьми с ОВЗ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</w:pPr>
            <w:r w:rsidRPr="008F3AEC">
              <w:t>Справка руководителя</w:t>
            </w:r>
          </w:p>
          <w:p w:rsidR="003F2696" w:rsidRPr="008F3AEC" w:rsidRDefault="003F2696" w:rsidP="003F2696">
            <w:pPr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r w:rsidRPr="008F3AEC">
              <w:t>Не  создает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Индивидуальное сопровождение ребенка в рамках деятельности ПМПк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 xml:space="preserve">Участие в составе ПМПк </w:t>
            </w:r>
          </w:p>
        </w:tc>
      </w:tr>
      <w:tr w:rsidR="003F2696" w:rsidRPr="00B43631" w:rsidTr="00F30191">
        <w:trPr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3F2696" w:rsidRPr="00B43631" w:rsidTr="00F30191">
        <w:trPr>
          <w:trHeight w:val="74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ind w:left="644"/>
              <w:contextualSpacing/>
              <w:rPr>
                <w:lang w:val="ru-RU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jc w:val="both"/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</w:tr>
      <w:tr w:rsidR="003F2696" w:rsidRPr="00B43631" w:rsidTr="00F30191">
        <w:trPr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F2696" w:rsidRPr="00B43631" w:rsidTr="00F30191">
        <w:trPr>
          <w:trHeight w:val="609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опыта».</w:t>
            </w:r>
          </w:p>
        </w:tc>
      </w:tr>
      <w:tr w:rsidR="003F2696" w:rsidRPr="00B43631" w:rsidTr="00F30191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3F2696" w:rsidRPr="008F3AEC" w:rsidTr="00F30191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3F2696" w:rsidRPr="008F3AEC" w:rsidTr="00F30191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УМО, проведение открытых уроков, мастер-классов.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Программа, сертификат, протокол заседания МО, программа и протокол заседания УМО, справка и иной документ с </w:t>
            </w:r>
            <w:r w:rsidRPr="008F3AEC">
              <w:rPr>
                <w:lang w:val="ru-RU"/>
              </w:rPr>
              <w:lastRenderedPageBreak/>
              <w:t>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уровне учреждения (не менее трех)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73"/>
              <w:contextualSpacing/>
              <w:jc w:val="both"/>
            </w:pPr>
            <w:r w:rsidRPr="008F3AEC">
              <w:t>Выступление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3F2696" w:rsidRPr="00B43631" w:rsidTr="00F30191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наличии 2-х и более выступлений, мастер-классов на вышеуказанных уровнях +1 балл </w:t>
            </w:r>
            <w:r w:rsidRPr="008F3AEC">
              <w:rPr>
                <w:lang w:val="ru-RU"/>
              </w:rPr>
              <w:lastRenderedPageBreak/>
              <w:t>дополнительно за каждое (но не более 3 баллов).</w:t>
            </w:r>
          </w:p>
        </w:tc>
      </w:tr>
      <w:tr w:rsidR="003F2696" w:rsidRPr="00B43631" w:rsidTr="00F30191">
        <w:trPr>
          <w:trHeight w:val="609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Справка руководителя,</w:t>
            </w:r>
          </w:p>
          <w:p w:rsidR="003F2696" w:rsidRPr="008F3AEC" w:rsidRDefault="003F2696" w:rsidP="003F2696">
            <w:pPr>
              <w:contextualSpacing/>
              <w:jc w:val="both"/>
            </w:pPr>
            <w:r w:rsidRPr="008F3AEC">
              <w:t>приказ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Уровень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всероссийском уровне. Работа в качестве регионального представителя или координатора </w:t>
            </w:r>
          </w:p>
        </w:tc>
      </w:tr>
      <w:tr w:rsidR="003F2696" w:rsidRPr="00B43631" w:rsidTr="00F30191">
        <w:trPr>
          <w:trHeight w:val="609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F2696" w:rsidRPr="008F3AEC" w:rsidTr="00F30191">
        <w:trPr>
          <w:trHeight w:val="282"/>
          <w:jc w:val="center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  <w:rPr>
                <w:lang w:val="ru-RU"/>
              </w:rPr>
            </w:pP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3F2696" w:rsidRPr="00B43631" w:rsidTr="00F30191">
        <w:trPr>
          <w:trHeight w:val="1197"/>
          <w:jc w:val="center"/>
        </w:trPr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contextualSpacing/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96" w:rsidRPr="008F3AEC" w:rsidRDefault="003F2696" w:rsidP="003F2696">
            <w:pPr>
              <w:contextualSpacing/>
              <w:jc w:val="both"/>
            </w:pP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3F2696" w:rsidRPr="00B43631" w:rsidTr="00F30191">
        <w:trPr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3F2696" w:rsidRPr="008F3AEC" w:rsidTr="00F30191">
        <w:trPr>
          <w:trHeight w:val="2367"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/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Комплекс учебно- методических материалов имеет рецензию муниципального НМИЦ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 xml:space="preserve">ОГАОУ ДПО </w:t>
            </w:r>
            <w:r w:rsidRPr="008F3AEC">
              <w:rPr>
                <w:lang w:eastAsia="en-US"/>
              </w:rPr>
              <w:t>«БелИРО»</w:t>
            </w:r>
          </w:p>
        </w:tc>
      </w:tr>
      <w:tr w:rsidR="003F2696" w:rsidRPr="00B43631" w:rsidTr="00F30191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учащихся/воспитанников на сайте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 xml:space="preserve"> в разделах "Портфель уроков", </w:t>
            </w:r>
            <w:r w:rsidRPr="008F3AEC">
              <w:rPr>
                <w:lang w:val="ru-RU"/>
              </w:rPr>
              <w:lastRenderedPageBreak/>
              <w:t xml:space="preserve">"Виртуальный методический кабинет"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lastRenderedPageBreak/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</w:pPr>
            <w:r w:rsidRPr="008F3AEC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3F2696" w:rsidRPr="00B43631" w:rsidTr="00F30191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«БелИРО», учредителя учреждения, осуществляющего образовательную деятельность.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 всероссийского этапа, в том числе  конкурсного отбора лучших педагогов</w:t>
            </w:r>
          </w:p>
        </w:tc>
      </w:tr>
      <w:tr w:rsidR="003F2696" w:rsidRPr="00B43631" w:rsidTr="00F30191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0C67AE">
            <w:pPr>
              <w:numPr>
                <w:ilvl w:val="0"/>
                <w:numId w:val="26"/>
              </w:numPr>
              <w:rPr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</w:t>
            </w:r>
          </w:p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96" w:rsidRPr="008F3AEC" w:rsidRDefault="003F2696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3F2696" w:rsidRDefault="003F2696" w:rsidP="003F2696">
      <w:pPr>
        <w:jc w:val="center"/>
        <w:rPr>
          <w:b/>
          <w:lang w:val="ru-RU"/>
        </w:rPr>
      </w:pPr>
    </w:p>
    <w:p w:rsidR="00256213" w:rsidRPr="008F3AEC" w:rsidRDefault="00256213" w:rsidP="003F2696">
      <w:pPr>
        <w:jc w:val="center"/>
        <w:rPr>
          <w:b/>
          <w:lang w:val="ru-RU"/>
        </w:rPr>
      </w:pPr>
    </w:p>
    <w:p w:rsidR="003F2696" w:rsidRPr="008F3AEC" w:rsidRDefault="003F2696" w:rsidP="003F2696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3F2696" w:rsidRPr="008F3AEC" w:rsidRDefault="003F2696" w:rsidP="003F2696">
      <w:pPr>
        <w:jc w:val="center"/>
        <w:rPr>
          <w:b/>
          <w:lang w:val="ru-RU"/>
        </w:rPr>
      </w:pPr>
    </w:p>
    <w:p w:rsidR="003F2696" w:rsidRPr="008F3AEC" w:rsidRDefault="003F2696" w:rsidP="003F2696">
      <w:pPr>
        <w:ind w:right="-144"/>
        <w:jc w:val="center"/>
        <w:rPr>
          <w:lang w:val="ru-RU"/>
        </w:rPr>
      </w:pPr>
      <w:r w:rsidRPr="008F3AEC">
        <w:rPr>
          <w:lang w:val="ru-RU"/>
        </w:rPr>
        <w:t>- 45 баллов и более – уровень высшей квалификационной категории;</w:t>
      </w:r>
    </w:p>
    <w:p w:rsidR="003F2696" w:rsidRPr="008F3AEC" w:rsidRDefault="003F2696" w:rsidP="003F2696">
      <w:pPr>
        <w:ind w:right="-144"/>
        <w:jc w:val="center"/>
        <w:rPr>
          <w:lang w:val="ru-RU"/>
        </w:rPr>
      </w:pPr>
      <w:r w:rsidRPr="008F3AEC">
        <w:rPr>
          <w:lang w:val="ru-RU"/>
        </w:rPr>
        <w:t>- от  35  до 44 баллов - уровень первой квалификационной категории;</w:t>
      </w:r>
    </w:p>
    <w:p w:rsidR="003F2696" w:rsidRPr="008F3AEC" w:rsidRDefault="003F2696" w:rsidP="003F2696">
      <w:pPr>
        <w:ind w:right="-144"/>
        <w:jc w:val="center"/>
        <w:rPr>
          <w:lang w:val="ru-RU"/>
        </w:rPr>
      </w:pPr>
      <w:r w:rsidRPr="008F3AEC">
        <w:rPr>
          <w:lang w:val="ru-RU"/>
        </w:rPr>
        <w:t>- ниже 35 баллов – уровень, недостаточный для аттестации на квалификационную категорию</w:t>
      </w:r>
    </w:p>
    <w:p w:rsidR="009F1493" w:rsidRDefault="009F1493" w:rsidP="003F2696">
      <w:pPr>
        <w:ind w:left="3402"/>
        <w:rPr>
          <w:lang w:val="ru-RU"/>
        </w:rPr>
      </w:pPr>
    </w:p>
    <w:p w:rsidR="0036684D" w:rsidRDefault="0036684D" w:rsidP="003F2696">
      <w:pPr>
        <w:ind w:left="3402"/>
        <w:rPr>
          <w:lang w:val="ru-RU"/>
        </w:rPr>
      </w:pPr>
    </w:p>
    <w:p w:rsidR="0036684D" w:rsidRDefault="0036684D" w:rsidP="003F2696">
      <w:pPr>
        <w:ind w:left="3402"/>
        <w:rPr>
          <w:lang w:val="ru-RU"/>
        </w:rPr>
      </w:pPr>
    </w:p>
    <w:sectPr w:rsidR="0036684D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FA" w:rsidRDefault="001C42FA" w:rsidP="004A581F">
      <w:r>
        <w:separator/>
      </w:r>
    </w:p>
  </w:endnote>
  <w:endnote w:type="continuationSeparator" w:id="1">
    <w:p w:rsidR="001C42FA" w:rsidRDefault="001C42FA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FA" w:rsidRDefault="001C42FA" w:rsidP="004A581F">
      <w:r>
        <w:separator/>
      </w:r>
    </w:p>
  </w:footnote>
  <w:footnote w:type="continuationSeparator" w:id="1">
    <w:p w:rsidR="001C42FA" w:rsidRDefault="001C42FA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C42FA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1A9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131FE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24D5"/>
    <w:rsid w:val="00B43631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2020-09-08T08:13:00Z</dcterms:created>
  <dcterms:modified xsi:type="dcterms:W3CDTF">2020-09-08T08:13:00Z</dcterms:modified>
</cp:coreProperties>
</file>