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B52BE2" w:rsidRPr="0022196F" w:rsidTr="00B52BE2">
        <w:tc>
          <w:tcPr>
            <w:tcW w:w="5039" w:type="dxa"/>
          </w:tcPr>
          <w:p w:rsidR="00B52BE2" w:rsidRPr="008F3AEC" w:rsidRDefault="00B52BE2" w:rsidP="00B52BE2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B52BE2" w:rsidRPr="008F3AEC" w:rsidRDefault="00B52BE2" w:rsidP="00B52BE2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B52BE2" w:rsidRPr="008F3AEC" w:rsidRDefault="00B52BE2" w:rsidP="00B52BE2">
      <w:pPr>
        <w:ind w:left="5909" w:hanging="5909"/>
        <w:jc w:val="center"/>
        <w:rPr>
          <w:b/>
          <w:lang w:val="ru-RU"/>
        </w:rPr>
      </w:pPr>
    </w:p>
    <w:p w:rsidR="00B52BE2" w:rsidRPr="008F3AEC" w:rsidRDefault="00B52BE2" w:rsidP="00B52BE2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B52BE2" w:rsidRPr="008F3AEC" w:rsidRDefault="00B52BE2" w:rsidP="00B52BE2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педагогических работников профессиональных образовательных учреждений, подведомственных управлению культуры Белгородской области по должности «преподаватель» </w:t>
      </w:r>
    </w:p>
    <w:p w:rsidR="00B52BE2" w:rsidRPr="008F3AEC" w:rsidRDefault="00B52BE2" w:rsidP="00B52BE2">
      <w:pPr>
        <w:pStyle w:val="a3"/>
        <w:jc w:val="left"/>
        <w:rPr>
          <w:sz w:val="22"/>
          <w:lang w:val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1"/>
        <w:gridCol w:w="3832"/>
        <w:gridCol w:w="2126"/>
        <w:gridCol w:w="1701"/>
        <w:gridCol w:w="1842"/>
        <w:gridCol w:w="18"/>
        <w:gridCol w:w="22"/>
        <w:gridCol w:w="1519"/>
        <w:gridCol w:w="259"/>
        <w:gridCol w:w="25"/>
        <w:gridCol w:w="1276"/>
        <w:gridCol w:w="236"/>
        <w:gridCol w:w="1748"/>
      </w:tblGrid>
      <w:tr w:rsidR="00B52BE2" w:rsidRPr="0022196F" w:rsidTr="00F35C28">
        <w:trPr>
          <w:trHeight w:val="37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rPr>
                <w:b/>
              </w:rPr>
            </w:pPr>
            <w:r w:rsidRPr="008F3AEC">
              <w:rPr>
                <w:b/>
              </w:rPr>
              <w:t>№ п/п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jc w:val="center"/>
              <w:rPr>
                <w:b/>
              </w:rPr>
            </w:pPr>
            <w:r w:rsidRPr="008F3AEC">
              <w:rPr>
                <w:b/>
              </w:rPr>
              <w:t>Наименование критерия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jc w:val="center"/>
              <w:rPr>
                <w:b/>
              </w:rPr>
            </w:pPr>
            <w:r w:rsidRPr="008F3AEC">
              <w:rPr>
                <w:b/>
              </w:rPr>
              <w:t>Подтверждающие документы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B52BE2" w:rsidRPr="008F3AEC" w:rsidTr="00F35C28"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E2" w:rsidRPr="008F3AEC" w:rsidRDefault="00B52BE2" w:rsidP="00B52BE2">
            <w:pPr>
              <w:rPr>
                <w:b/>
                <w:lang w:val="ru-RU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E2" w:rsidRPr="008F3AEC" w:rsidRDefault="00B52BE2" w:rsidP="00B52BE2">
            <w:pPr>
              <w:rPr>
                <w:b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E2" w:rsidRPr="008F3AEC" w:rsidRDefault="00B52BE2" w:rsidP="00B52BE2">
            <w:pPr>
              <w:rPr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jc w:val="center"/>
              <w:rPr>
                <w:b/>
              </w:rPr>
            </w:pPr>
            <w:r w:rsidRPr="008F3AEC">
              <w:rPr>
                <w:b/>
              </w:rPr>
              <w:t>0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jc w:val="center"/>
              <w:rPr>
                <w:b/>
              </w:rPr>
            </w:pPr>
            <w:r w:rsidRPr="008F3AEC">
              <w:rPr>
                <w:b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jc w:val="center"/>
              <w:rPr>
                <w:b/>
              </w:rPr>
            </w:pPr>
            <w:r w:rsidRPr="008F3AEC">
              <w:rPr>
                <w:b/>
              </w:rPr>
              <w:t>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jc w:val="center"/>
              <w:rPr>
                <w:b/>
              </w:rPr>
            </w:pPr>
            <w:r w:rsidRPr="008F3AEC">
              <w:rPr>
                <w:b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jc w:val="center"/>
              <w:rPr>
                <w:b/>
              </w:rPr>
            </w:pPr>
            <w:r w:rsidRPr="008F3AEC">
              <w:rPr>
                <w:b/>
              </w:rPr>
              <w:t>5</w:t>
            </w:r>
          </w:p>
        </w:tc>
      </w:tr>
      <w:tr w:rsidR="00B52BE2" w:rsidRPr="0022196F" w:rsidTr="00F35C28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положительные результаты </w:t>
            </w:r>
            <w:r w:rsidRPr="008F3AEC">
              <w:rPr>
                <w:b/>
                <w:i/>
                <w:lang w:val="ru-RU"/>
              </w:rPr>
              <w:t>(</w:t>
            </w:r>
            <w:r w:rsidRPr="008F3AEC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положительная динамика - для высшей категории) </w:t>
            </w:r>
            <w:r w:rsidRPr="008F3AEC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B52BE2" w:rsidRPr="0022196F" w:rsidTr="00F35C28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0C67AE">
            <w:pPr>
              <w:numPr>
                <w:ilvl w:val="0"/>
                <w:numId w:val="22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Результативность учебной деятельности по итогам мониторинга учебного заведения  (в межаттестационный период (для аттестующихся впервые - не менее 2 лет) (по одному из видов образовательных программ (ППССЗ или ППКРС)).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rPr>
                <w:u w:val="single"/>
                <w:lang w:val="ru-RU"/>
              </w:rPr>
            </w:pPr>
            <w:r w:rsidRPr="008F3AEC">
              <w:rPr>
                <w:lang w:val="ru-RU"/>
              </w:rPr>
              <w:t>Справка директора (декан</w:t>
            </w:r>
            <w:r w:rsidR="00114915" w:rsidRPr="008F3AEC">
              <w:rPr>
                <w:lang w:val="ru-RU"/>
              </w:rPr>
              <w:t>а</w:t>
            </w:r>
            <w:r w:rsidRPr="008F3AEC">
              <w:rPr>
                <w:lang w:val="ru-RU"/>
              </w:rPr>
              <w:t xml:space="preserve"> или ректор</w:t>
            </w:r>
            <w:r w:rsidR="00114915" w:rsidRPr="008F3AEC">
              <w:rPr>
                <w:lang w:val="ru-RU"/>
              </w:rPr>
              <w:t>а</w:t>
            </w:r>
            <w:r w:rsidRPr="008F3AEC">
              <w:rPr>
                <w:lang w:val="ru-RU"/>
              </w:rPr>
              <w:t xml:space="preserve">я </w:t>
            </w:r>
            <w:r w:rsidR="00114915" w:rsidRPr="008F3AEC">
              <w:rPr>
                <w:lang w:val="ru-RU"/>
              </w:rPr>
              <w:t xml:space="preserve">) </w:t>
            </w:r>
            <w:r w:rsidRPr="008F3AEC">
              <w:rPr>
                <w:lang w:val="ru-RU"/>
              </w:rPr>
              <w:t>ОО (с показателями по предметам/дисциплинам, которые тарифицированы преподавателю</w:t>
            </w:r>
            <w:r w:rsidRPr="008F3AEC">
              <w:rPr>
                <w:u w:val="single"/>
                <w:lang w:val="ru-RU"/>
              </w:rPr>
              <w:t>).</w:t>
            </w:r>
          </w:p>
          <w:p w:rsidR="00B52BE2" w:rsidRPr="008F3AEC" w:rsidRDefault="00B52BE2" w:rsidP="00B52BE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программы подготовки специалистов среднего звена качество знаний ниже 40% </w:t>
            </w:r>
          </w:p>
          <w:p w:rsidR="00B52BE2" w:rsidRPr="008F3AEC" w:rsidRDefault="00B52BE2" w:rsidP="00B52BE2">
            <w:pPr>
              <w:jc w:val="both"/>
              <w:rPr>
                <w:lang w:val="ru-RU"/>
              </w:rPr>
            </w:pPr>
          </w:p>
          <w:p w:rsidR="00B52BE2" w:rsidRPr="008F3AEC" w:rsidRDefault="00B52BE2" w:rsidP="00B52BE2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программы подготовки квалифицированных рабочих (служащих) качество знаний ниже 20%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программы подготовки специалистов среднего звена качество знаний 40-49%</w:t>
            </w:r>
          </w:p>
          <w:p w:rsidR="00B52BE2" w:rsidRPr="008F3AEC" w:rsidRDefault="00B52BE2" w:rsidP="00B52BE2">
            <w:pPr>
              <w:rPr>
                <w:lang w:val="ru-RU"/>
              </w:rPr>
            </w:pPr>
          </w:p>
          <w:p w:rsidR="00B52BE2" w:rsidRPr="008F3AEC" w:rsidRDefault="00B52BE2" w:rsidP="00B52BE2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программы подготовки квалифицированных рабочих (служащих) качество знаний 20-29%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программы подготовки специалистов среднего звена качество знаний 50-59%</w:t>
            </w:r>
          </w:p>
          <w:p w:rsidR="00B52BE2" w:rsidRPr="008F3AEC" w:rsidRDefault="00B52BE2" w:rsidP="00B52BE2">
            <w:pPr>
              <w:jc w:val="both"/>
              <w:rPr>
                <w:lang w:val="ru-RU"/>
              </w:rPr>
            </w:pPr>
          </w:p>
          <w:p w:rsidR="00B52BE2" w:rsidRPr="008F3AEC" w:rsidRDefault="00B52BE2" w:rsidP="00B52BE2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программы подготовки квалифицированных рабочих (служащих) качество знаний 30-39%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программы подготовки специалистов среднего звена качество знаний 60-69%</w:t>
            </w:r>
          </w:p>
          <w:p w:rsidR="00B52BE2" w:rsidRPr="008F3AEC" w:rsidRDefault="00B52BE2" w:rsidP="00B52BE2">
            <w:pPr>
              <w:jc w:val="both"/>
              <w:rPr>
                <w:lang w:val="ru-RU"/>
              </w:rPr>
            </w:pPr>
          </w:p>
          <w:p w:rsidR="00B52BE2" w:rsidRPr="008F3AEC" w:rsidRDefault="00B52BE2" w:rsidP="00B52BE2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программы подготовки квалифицированных рабочих (служащих) качество знаний 40-49%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программы подготовки специалистов среднего звена качество знаний выше 70%</w:t>
            </w:r>
            <w:r w:rsidRPr="008F3AEC">
              <w:rPr>
                <w:lang w:val="ru-RU"/>
              </w:rPr>
              <w:br/>
            </w:r>
          </w:p>
          <w:p w:rsidR="00B52BE2" w:rsidRPr="008F3AEC" w:rsidRDefault="00B52BE2" w:rsidP="00B52BE2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программы подготовки квалифицированных рабочих (служащих) качество знаний выше 50%</w:t>
            </w:r>
          </w:p>
        </w:tc>
      </w:tr>
      <w:tr w:rsidR="00B52BE2" w:rsidRPr="008F3AEC" w:rsidTr="00F35C28">
        <w:trPr>
          <w:trHeight w:val="129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0C67AE">
            <w:pPr>
              <w:numPr>
                <w:ilvl w:val="0"/>
                <w:numId w:val="22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Результативность прохождения выпускниками независимой оценки квалификаций/демонстрационного экзамена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 xml:space="preserve">Справка организации, проводившей независимую оценку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выпускники не проходили независимую оценку квалификаций</w:t>
            </w:r>
            <w:r w:rsidRPr="008F3AEC">
              <w:rPr>
                <w:sz w:val="24"/>
                <w:szCs w:val="24"/>
                <w:lang w:val="ru-RU"/>
              </w:rPr>
              <w:lastRenderedPageBreak/>
              <w:t>/ обучающиеся не сдавали демонстрационный экзамен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lastRenderedPageBreak/>
              <w:t xml:space="preserve">Количество баллов подтверждается: </w:t>
            </w:r>
          </w:p>
          <w:p w:rsidR="00B52BE2" w:rsidRPr="008F3AEC" w:rsidRDefault="00B52BE2" w:rsidP="00B52BE2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- справкой организации, проводившей независимую оценку (РАРК, НАРК, СПК, др.) (максимально 5 баллов)</w:t>
            </w:r>
          </w:p>
        </w:tc>
      </w:tr>
      <w:tr w:rsidR="00B52BE2" w:rsidRPr="008F3AEC" w:rsidTr="00F35C28">
        <w:trPr>
          <w:trHeight w:val="2490"/>
        </w:trPr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0C67AE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3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Справка руководителя ОО, (декан</w:t>
            </w:r>
            <w:r w:rsidR="00114915" w:rsidRPr="008F3AEC">
              <w:rPr>
                <w:sz w:val="24"/>
                <w:szCs w:val="24"/>
                <w:lang w:val="ru-RU"/>
              </w:rPr>
              <w:t>а</w:t>
            </w:r>
            <w:r w:rsidRPr="008F3AEC">
              <w:rPr>
                <w:sz w:val="24"/>
                <w:szCs w:val="24"/>
                <w:lang w:val="ru-RU"/>
              </w:rPr>
              <w:t xml:space="preserve"> или ректор</w:t>
            </w:r>
            <w:r w:rsidR="00114915" w:rsidRPr="008F3AEC">
              <w:rPr>
                <w:sz w:val="24"/>
                <w:szCs w:val="24"/>
                <w:lang w:val="ru-RU"/>
              </w:rPr>
              <w:t>а</w:t>
            </w:r>
            <w:r w:rsidRPr="008F3AEC">
              <w:rPr>
                <w:sz w:val="24"/>
                <w:szCs w:val="24"/>
                <w:lang w:val="ru-RU"/>
              </w:rPr>
              <w:t>)</w:t>
            </w:r>
          </w:p>
          <w:p w:rsidR="00B52BE2" w:rsidRPr="008F3AEC" w:rsidRDefault="00B52BE2" w:rsidP="00B52BE2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приказ ОО о закреплении ответственного(ых) за подготовку обучающихся к демонстрационному  экзамену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качество прохождения обучающимися ГИА в форме ДЭ (средний балл по сдававшим</w:t>
            </w:r>
          </w:p>
          <w:p w:rsidR="00B52BE2" w:rsidRPr="008F3AEC" w:rsidRDefault="00B52BE2" w:rsidP="00B52BE2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менее 3,7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качество прохождения обучающимися ГИА в форме ДЭ (средний балл по сдававшим</w:t>
            </w:r>
          </w:p>
          <w:p w:rsidR="00B52BE2" w:rsidRPr="008F3AEC" w:rsidRDefault="00B52BE2" w:rsidP="00B52BE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3,7 - 3,9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качество прохождения обучающимися ГИА в форме ДЭ (средний балл по сдававшим</w:t>
            </w:r>
          </w:p>
          <w:p w:rsidR="00B52BE2" w:rsidRPr="008F3AEC" w:rsidRDefault="00B52BE2" w:rsidP="00B52BE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4,0 - 4,4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качество прохождения обучающимися ГИА в форме ДЭ (средний балл по сдававшим</w:t>
            </w:r>
          </w:p>
          <w:p w:rsidR="00B52BE2" w:rsidRPr="008F3AEC" w:rsidRDefault="00B52BE2" w:rsidP="00B52BE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4,5 – 5,0</w:t>
            </w:r>
          </w:p>
        </w:tc>
      </w:tr>
      <w:tr w:rsidR="00B52BE2" w:rsidRPr="0022196F" w:rsidTr="00F35C28">
        <w:trPr>
          <w:trHeight w:val="407"/>
        </w:trPr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lastRenderedPageBreak/>
              <w:t xml:space="preserve">Стабильные </w:t>
            </w:r>
            <w:r w:rsidRPr="008F3AEC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F3AE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B52BE2" w:rsidRPr="0022196F" w:rsidTr="00F35C28">
        <w:trPr>
          <w:trHeight w:val="40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ind w:left="284"/>
              <w:contextualSpacing/>
              <w:rPr>
                <w:lang w:val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</w:p>
        </w:tc>
      </w:tr>
      <w:tr w:rsidR="00B52BE2" w:rsidRPr="0022196F" w:rsidTr="00F35C28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Выявление </w:t>
            </w:r>
            <w:r w:rsidRPr="008F3AE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F3AE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B52BE2" w:rsidRPr="008F3AEC" w:rsidRDefault="00B52BE2" w:rsidP="00B52BE2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физкультурно-спортивной деятельности (</w:t>
            </w:r>
            <w:r w:rsidRPr="008F3AE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F3AEC">
              <w:rPr>
                <w:b/>
                <w:lang w:val="ru-RU"/>
              </w:rPr>
              <w:t>)</w:t>
            </w:r>
          </w:p>
        </w:tc>
      </w:tr>
      <w:tr w:rsidR="00B52BE2" w:rsidRPr="0022196F" w:rsidTr="00F35C28">
        <w:trPr>
          <w:trHeight w:val="747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0C67AE">
            <w:pPr>
              <w:numPr>
                <w:ilvl w:val="0"/>
                <w:numId w:val="22"/>
              </w:numPr>
              <w:contextualSpacing/>
              <w:rPr>
                <w:lang w:val="ru-RU"/>
              </w:rPr>
            </w:pPr>
          </w:p>
        </w:tc>
        <w:tc>
          <w:tcPr>
            <w:tcW w:w="38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обучающихся в мероприятиях различных уровней учебной деятельности</w:t>
            </w:r>
          </w:p>
          <w:p w:rsidR="00B52BE2" w:rsidRPr="008F3AEC" w:rsidRDefault="00B52BE2" w:rsidP="00B52BE2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- олимпиады;</w:t>
            </w:r>
          </w:p>
          <w:p w:rsidR="00B52BE2" w:rsidRPr="008F3AEC" w:rsidRDefault="00B52BE2" w:rsidP="00B52BE2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- выставки;</w:t>
            </w:r>
          </w:p>
          <w:p w:rsidR="00B52BE2" w:rsidRPr="008F3AEC" w:rsidRDefault="00B52BE2" w:rsidP="00B52BE2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- профессиональные конкурсы и т.д.</w:t>
            </w:r>
          </w:p>
          <w:p w:rsidR="00B52BE2" w:rsidRPr="008F3AEC" w:rsidRDefault="00B52BE2" w:rsidP="00B52BE2">
            <w:pPr>
              <w:contextualSpacing/>
            </w:pPr>
            <w:r w:rsidRPr="008F3AEC">
              <w:t>(без учета интернет-мероприятий)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Справка руководителя организации </w:t>
            </w:r>
            <w:r w:rsidR="00114915" w:rsidRPr="008F3AEC">
              <w:rPr>
                <w:lang w:val="ru-RU"/>
              </w:rPr>
              <w:t>(</w:t>
            </w:r>
            <w:r w:rsidRPr="008F3AEC">
              <w:rPr>
                <w:lang w:val="ru-RU"/>
              </w:rPr>
              <w:t>декан</w:t>
            </w:r>
            <w:r w:rsidR="00114915" w:rsidRPr="008F3AEC">
              <w:rPr>
                <w:lang w:val="ru-RU"/>
              </w:rPr>
              <w:t>а</w:t>
            </w:r>
            <w:r w:rsidRPr="008F3AEC">
              <w:rPr>
                <w:lang w:val="ru-RU"/>
              </w:rPr>
              <w:t xml:space="preserve"> или ректо</w:t>
            </w:r>
            <w:r w:rsidR="00114915" w:rsidRPr="008F3AEC">
              <w:rPr>
                <w:lang w:val="ru-RU"/>
              </w:rPr>
              <w:t>ра</w:t>
            </w:r>
            <w:r w:rsidRPr="008F3AEC">
              <w:rPr>
                <w:lang w:val="ru-RU"/>
              </w:rPr>
              <w:t>)</w:t>
            </w:r>
          </w:p>
          <w:p w:rsidR="00B52BE2" w:rsidRPr="008F3AEC" w:rsidRDefault="00B52BE2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(в случае, если на грамоте или дипломе победителя нет ФИО преподавателя), Приказы;</w:t>
            </w:r>
          </w:p>
          <w:p w:rsidR="00B52BE2" w:rsidRPr="008F3AEC" w:rsidRDefault="00B52BE2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грамоты, дипломы или документы, подтверждающие результат.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r w:rsidRPr="008F3AEC">
              <w:t>не участвуют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E2" w:rsidRPr="008F3AEC" w:rsidRDefault="00B52BE2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на уровне образовательного учреждения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 на муниципальном и зональном уровне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победы и призовые места на региональном, межрегиональном уровне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победы и призовые места на республиканском, международном уровне</w:t>
            </w:r>
          </w:p>
        </w:tc>
      </w:tr>
      <w:tr w:rsidR="00B52BE2" w:rsidRPr="0022196F" w:rsidTr="00F35C28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0C67AE">
            <w:pPr>
              <w:numPr>
                <w:ilvl w:val="0"/>
                <w:numId w:val="22"/>
              </w:numPr>
              <w:contextualSpacing/>
              <w:rPr>
                <w:lang w:val="ru-RU"/>
              </w:rPr>
            </w:pPr>
          </w:p>
        </w:tc>
        <w:tc>
          <w:tcPr>
            <w:tcW w:w="3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rPr>
                <w:lang w:val="ru-RU"/>
              </w:rPr>
            </w:pP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E2" w:rsidRPr="008F3AEC" w:rsidRDefault="00B52BE2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При наличии более 1 призового места  в региональных, всероссийских мероприятиях+1 балл дополнительно за каждую, но не более 3 баллов)</w:t>
            </w:r>
          </w:p>
        </w:tc>
      </w:tr>
      <w:tr w:rsidR="00B52BE2" w:rsidRPr="0022196F" w:rsidTr="00F35C28">
        <w:trPr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0C67AE">
            <w:pPr>
              <w:numPr>
                <w:ilvl w:val="0"/>
                <w:numId w:val="22"/>
              </w:numPr>
              <w:contextualSpacing/>
              <w:rPr>
                <w:lang w:val="ru-RU"/>
              </w:rPr>
            </w:pPr>
          </w:p>
        </w:tc>
        <w:tc>
          <w:tcPr>
            <w:tcW w:w="3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обучающихся в научно-исследовательской, проектной деятельности (без учета интернет-мероприятий)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</w:t>
            </w:r>
            <w:r w:rsidR="00114915" w:rsidRPr="008F3AEC">
              <w:rPr>
                <w:lang w:val="ru-RU"/>
              </w:rPr>
              <w:t>(</w:t>
            </w:r>
            <w:r w:rsidRPr="008F3AEC">
              <w:rPr>
                <w:lang w:val="ru-RU"/>
              </w:rPr>
              <w:t>декан</w:t>
            </w:r>
            <w:r w:rsidR="00114915" w:rsidRPr="008F3AEC">
              <w:rPr>
                <w:lang w:val="ru-RU"/>
              </w:rPr>
              <w:t>а</w:t>
            </w:r>
            <w:r w:rsidRPr="008F3AEC">
              <w:rPr>
                <w:lang w:val="ru-RU"/>
              </w:rPr>
              <w:t xml:space="preserve"> или ректор</w:t>
            </w:r>
            <w:r w:rsidR="00114915" w:rsidRPr="008F3AEC">
              <w:rPr>
                <w:lang w:val="ru-RU"/>
              </w:rPr>
              <w:t>а</w:t>
            </w:r>
            <w:r w:rsidRPr="008F3AEC">
              <w:rPr>
                <w:lang w:val="ru-RU"/>
              </w:rPr>
              <w:t>)</w:t>
            </w:r>
          </w:p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отсутствии Ф. И. О. педагогического работника, подготовившего обучающегося.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</w:pPr>
            <w:r w:rsidRPr="008F3AEC">
              <w:t>Не участвуют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E2" w:rsidRPr="008F3AEC" w:rsidRDefault="00B52BE2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Победы или призовые места в мероприятиях ПОО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Победы или призовые места в муниципальных мероприятиях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Победы или призовые места в  региональных мероприятиях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Победы или призовые места во всероссийских и международных мероприятиях</w:t>
            </w:r>
          </w:p>
        </w:tc>
      </w:tr>
      <w:tr w:rsidR="00B52BE2" w:rsidRPr="0022196F" w:rsidTr="00F35C28">
        <w:trPr>
          <w:trHeight w:val="74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0C67AE">
            <w:pPr>
              <w:numPr>
                <w:ilvl w:val="0"/>
                <w:numId w:val="22"/>
              </w:numPr>
              <w:contextualSpacing/>
              <w:rPr>
                <w:lang w:val="ru-RU"/>
              </w:rPr>
            </w:pPr>
          </w:p>
        </w:tc>
        <w:tc>
          <w:tcPr>
            <w:tcW w:w="386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E2" w:rsidRPr="008F3AEC" w:rsidRDefault="00B52BE2" w:rsidP="00B52BE2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в муниципальных, региональных или всероссийских мероприятиях более 1 победителя, призера +1 балл дополнительно (но не более 5 баллов)</w:t>
            </w:r>
          </w:p>
        </w:tc>
      </w:tr>
      <w:tr w:rsidR="00B52BE2" w:rsidRPr="0022196F" w:rsidTr="00F35C28">
        <w:trPr>
          <w:trHeight w:val="747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0C67AE">
            <w:pPr>
              <w:numPr>
                <w:ilvl w:val="0"/>
                <w:numId w:val="22"/>
              </w:numPr>
              <w:contextualSpacing/>
              <w:rPr>
                <w:lang w:val="ru-RU"/>
              </w:rPr>
            </w:pPr>
          </w:p>
        </w:tc>
        <w:tc>
          <w:tcPr>
            <w:tcW w:w="38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 Результаты внеурочной деятельности обучающихся:</w:t>
            </w:r>
          </w:p>
          <w:p w:rsidR="00B52BE2" w:rsidRPr="008F3AEC" w:rsidRDefault="00B52BE2" w:rsidP="00B52BE2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- концерты; выставки, фестивали</w:t>
            </w:r>
          </w:p>
          <w:p w:rsidR="00B52BE2" w:rsidRPr="008F3AEC" w:rsidRDefault="00B52BE2" w:rsidP="00B52BE2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- студенческие конференции;</w:t>
            </w:r>
          </w:p>
          <w:p w:rsidR="00B52BE2" w:rsidRPr="008F3AEC" w:rsidRDefault="00B52BE2" w:rsidP="00B52BE2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- студенческие научно-творческие общества;</w:t>
            </w:r>
          </w:p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- клубы по интересам</w:t>
            </w:r>
          </w:p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(без учета интернет-мероприятий)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Справка руководителя организации </w:t>
            </w:r>
            <w:r w:rsidR="00114915" w:rsidRPr="008F3AEC">
              <w:rPr>
                <w:lang w:val="ru-RU"/>
              </w:rPr>
              <w:t>(декана или ректора)</w:t>
            </w:r>
          </w:p>
          <w:p w:rsidR="00B52BE2" w:rsidRPr="008F3AEC" w:rsidRDefault="00B52BE2" w:rsidP="00B52BE2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(при отсутствии ФИО преподавателя на документах), грамоты, дипломы или документы, подтверждающие результат.</w:t>
            </w:r>
          </w:p>
          <w:p w:rsidR="00B52BE2" w:rsidRPr="008F3AEC" w:rsidRDefault="00B52BE2" w:rsidP="00B52BE2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Для концерта; выставки, фестиваля – </w:t>
            </w:r>
            <w:r w:rsidRPr="008F3AEC">
              <w:rPr>
                <w:lang w:val="ru-RU"/>
              </w:rPr>
              <w:lastRenderedPageBreak/>
              <w:t>приглашение, вызов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jc w:val="both"/>
            </w:pPr>
            <w:r w:rsidRPr="008F3AEC">
              <w:lastRenderedPageBreak/>
              <w:t>не участвуют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E2" w:rsidRPr="008F3AEC" w:rsidRDefault="00B52BE2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Участие на уровне образовательного учреждения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r w:rsidRPr="008F3AEC">
              <w:t>Участие  на муниципальном уровне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Участие на зональном, региональном, межрегиональном уровне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ind w:right="-108"/>
              <w:rPr>
                <w:lang w:val="ru-RU"/>
              </w:rPr>
            </w:pPr>
            <w:r w:rsidRPr="008F3AEC">
              <w:rPr>
                <w:lang w:val="ru-RU"/>
              </w:rPr>
              <w:t>Участие на республиканском и международном уровне</w:t>
            </w:r>
          </w:p>
        </w:tc>
      </w:tr>
      <w:tr w:rsidR="00B52BE2" w:rsidRPr="0022196F" w:rsidTr="00F35C28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0C67AE">
            <w:pPr>
              <w:numPr>
                <w:ilvl w:val="0"/>
                <w:numId w:val="22"/>
              </w:numPr>
              <w:contextualSpacing/>
              <w:rPr>
                <w:lang w:val="ru-RU"/>
              </w:rPr>
            </w:pPr>
          </w:p>
        </w:tc>
        <w:tc>
          <w:tcPr>
            <w:tcW w:w="3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6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При наличии более 1 факта участия  в региональных, всероссийских мероприятиях+1 балл дополнительно за каждое, но не более 3 баллов)</w:t>
            </w:r>
          </w:p>
        </w:tc>
      </w:tr>
      <w:tr w:rsidR="00B52BE2" w:rsidRPr="0022196F" w:rsidTr="00F35C28">
        <w:trPr>
          <w:trHeight w:val="747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0C67AE">
            <w:pPr>
              <w:numPr>
                <w:ilvl w:val="0"/>
                <w:numId w:val="22"/>
              </w:numPr>
              <w:contextualSpacing/>
              <w:rPr>
                <w:lang w:val="ru-RU"/>
              </w:rPr>
            </w:pPr>
          </w:p>
        </w:tc>
        <w:tc>
          <w:tcPr>
            <w:tcW w:w="38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Поступление выпускников СПО в профильные вузы.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 ОО.</w:t>
            </w:r>
          </w:p>
          <w:p w:rsidR="00B52BE2" w:rsidRPr="008F3AEC" w:rsidRDefault="00B52BE2" w:rsidP="00B52BE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r w:rsidRPr="008F3AEC">
              <w:t>отсутствует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/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114915" w:rsidP="00114915">
            <w:pPr>
              <w:rPr>
                <w:lang w:val="ru-RU"/>
              </w:rPr>
            </w:pPr>
            <w:r w:rsidRPr="008F3AEC">
              <w:rPr>
                <w:lang w:val="ru-RU"/>
              </w:rPr>
              <w:t>П</w:t>
            </w:r>
            <w:r w:rsidR="00B52BE2" w:rsidRPr="008F3AEC">
              <w:rPr>
                <w:lang w:val="ru-RU"/>
              </w:rPr>
              <w:t>оступление выпускников в вузы культуры и искусства не по профилю.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rPr>
                <w:lang w:val="ru-RU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114915" w:rsidP="00114915">
            <w:pPr>
              <w:rPr>
                <w:lang w:val="ru-RU"/>
              </w:rPr>
            </w:pPr>
            <w:r w:rsidRPr="008F3AEC">
              <w:rPr>
                <w:lang w:val="ru-RU"/>
              </w:rPr>
              <w:t>П</w:t>
            </w:r>
            <w:r w:rsidR="00B52BE2" w:rsidRPr="008F3AEC">
              <w:rPr>
                <w:lang w:val="ru-RU"/>
              </w:rPr>
              <w:t>оступление выпускников в вузы  по профилю</w:t>
            </w:r>
          </w:p>
        </w:tc>
      </w:tr>
      <w:tr w:rsidR="00B52BE2" w:rsidRPr="0022196F" w:rsidTr="00F35C28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E2" w:rsidRPr="008F3AEC" w:rsidRDefault="00B52BE2" w:rsidP="00B52BE2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B52BE2" w:rsidRPr="008F3AEC" w:rsidRDefault="00B52BE2" w:rsidP="00B52BE2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 (</w:t>
            </w:r>
            <w:r w:rsidRPr="008F3AEC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8F3AEC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8F3AEC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B52BE2" w:rsidRPr="0022196F" w:rsidTr="00F35C28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0C67AE">
            <w:pPr>
              <w:numPr>
                <w:ilvl w:val="0"/>
                <w:numId w:val="22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Наличие публикаций в сборниках, рекомендованных редакционным советом (коллегией).</w:t>
            </w:r>
          </w:p>
          <w:p w:rsidR="00B52BE2" w:rsidRPr="008F3AEC" w:rsidRDefault="00B52BE2" w:rsidP="00B52BE2">
            <w:pPr>
              <w:contextualSpacing/>
              <w:rPr>
                <w:lang w:val="ru-RU"/>
              </w:rPr>
            </w:pPr>
          </w:p>
          <w:p w:rsidR="00B52BE2" w:rsidRPr="008F3AEC" w:rsidRDefault="00B52BE2" w:rsidP="00B52BE2">
            <w:pPr>
              <w:contextualSpacing/>
              <w:rPr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Титульный лист, подтверждающий наличие редакционного совета и его рекомендацию к печати,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B52BE2" w:rsidRPr="008F3AEC" w:rsidTr="00F35C28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0C67AE">
            <w:pPr>
              <w:numPr>
                <w:ilvl w:val="0"/>
                <w:numId w:val="22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jc w:val="both"/>
            </w:pPr>
            <w:r w:rsidRPr="008F3AEC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8F3AEC">
              <w:t>(но не более 3 баллов)</w:t>
            </w:r>
          </w:p>
        </w:tc>
      </w:tr>
      <w:tr w:rsidR="00B52BE2" w:rsidRPr="008F3AEC" w:rsidTr="00F35C28">
        <w:trPr>
          <w:trHeight w:val="136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0C67AE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Выступления на научно-практических конференциях, педчтениях, семинарах, круглых столах, методических объединениях, проведение открытых уроков, мастер-классов.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Программа, сертификат, протокол заседания МО, программа и протокол заседания РУМО, </w:t>
            </w:r>
            <w:r w:rsidRPr="008F3AEC">
              <w:rPr>
                <w:lang w:val="ru-RU"/>
              </w:rPr>
              <w:lastRenderedPageBreak/>
              <w:t xml:space="preserve">справка и иной документ с подтверждением личного участия, </w:t>
            </w:r>
          </w:p>
          <w:p w:rsidR="00B52BE2" w:rsidRPr="008F3AEC" w:rsidRDefault="00B52BE2" w:rsidP="00B52BE2">
            <w:pPr>
              <w:contextualSpacing/>
              <w:jc w:val="both"/>
            </w:pPr>
            <w:r w:rsidRPr="008F3AEC">
              <w:t>программа конференции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</w:pPr>
            <w:r w:rsidRPr="008F3AEC">
              <w:lastRenderedPageBreak/>
              <w:t>Отсутствуют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ind w:right="-73"/>
              <w:contextualSpacing/>
              <w:jc w:val="both"/>
            </w:pPr>
            <w:r w:rsidRPr="008F3AEC">
              <w:t>Выступление на уровне ПОО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ind w:right="-73"/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Выступление на муниципальном, уровне ПОО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</w:pPr>
            <w:r w:rsidRPr="008F3AEC">
              <w:t>Выступление на всероссийском уровне</w:t>
            </w:r>
          </w:p>
        </w:tc>
      </w:tr>
      <w:tr w:rsidR="00B52BE2" w:rsidRPr="0022196F" w:rsidTr="00F35C28">
        <w:trPr>
          <w:trHeight w:val="1950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0C67AE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E2" w:rsidRPr="008F3AEC" w:rsidRDefault="00B52BE2" w:rsidP="00B52BE2">
            <w:pPr>
              <w:contextualSpacing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E2" w:rsidRPr="008F3AEC" w:rsidRDefault="00B52BE2" w:rsidP="00B52BE2">
            <w:pPr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E2" w:rsidRPr="008F3AEC" w:rsidRDefault="00B52BE2" w:rsidP="00B52BE2">
            <w:pPr>
              <w:contextualSpacing/>
              <w:jc w:val="both"/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E2" w:rsidRPr="008F3AEC" w:rsidRDefault="00B52BE2" w:rsidP="00B52BE2">
            <w:pPr>
              <w:contextualSpacing/>
              <w:jc w:val="both"/>
            </w:pP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2-х и более выступлений, мастер-классов на выше подтвержденном уровне +1 балл дополнительно за каждое (но не более 3 баллов).</w:t>
            </w:r>
          </w:p>
        </w:tc>
      </w:tr>
      <w:tr w:rsidR="00B52BE2" w:rsidRPr="008F3AEC" w:rsidTr="00F35C28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0C67AE">
            <w:pPr>
              <w:numPr>
                <w:ilvl w:val="0"/>
                <w:numId w:val="22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РУМО, ФУМО, творческих и рабочих групп, общественно-педагогических сообществ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Приказ о включении в состав РУМО, ФУМО, творческих и рабочих групп,</w:t>
            </w:r>
          </w:p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программы заседаний, </w:t>
            </w:r>
          </w:p>
          <w:p w:rsidR="00B52BE2" w:rsidRPr="008F3AEC" w:rsidRDefault="00B52BE2" w:rsidP="00B52BE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подтверждающих участие аттестуемого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Уровень ПОО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Участие на муниципальном уровне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Участие на региональном уровне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Участие на всероссийском уровне</w:t>
            </w:r>
          </w:p>
        </w:tc>
      </w:tr>
      <w:tr w:rsidR="00B52BE2" w:rsidRPr="0022196F" w:rsidTr="00F35C28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0C67AE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E2" w:rsidRPr="008F3AEC" w:rsidRDefault="00B52BE2" w:rsidP="00B52BE2">
            <w:pPr>
              <w:contextualSpacing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E2" w:rsidRPr="008F3AEC" w:rsidRDefault="00B52BE2" w:rsidP="00B52BE2">
            <w:pPr>
              <w:contextualSpacing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E2" w:rsidRPr="008F3AEC" w:rsidRDefault="00B52BE2" w:rsidP="00B52BE2">
            <w:pPr>
              <w:contextualSpacing/>
              <w:jc w:val="both"/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E2" w:rsidRPr="008F3AEC" w:rsidRDefault="00B52BE2" w:rsidP="00B52BE2">
            <w:pPr>
              <w:contextualSpacing/>
              <w:jc w:val="both"/>
            </w:pP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B52BE2" w:rsidRPr="008F3AEC" w:rsidTr="00F35C28">
        <w:trPr>
          <w:trHeight w:val="975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0C67AE">
            <w:pPr>
              <w:numPr>
                <w:ilvl w:val="0"/>
                <w:numId w:val="22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педагога в реализации проекта (проектах), зарегистрированных в проектных офисах, в работе инновационной площадки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Приказ о включении в группу управления проектом/ в рабочую группу проекта/ инновационной площадки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</w:pPr>
            <w:r w:rsidRPr="008F3AEC">
              <w:t>Уровень ОО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r w:rsidRPr="008F3AEC">
              <w:t>Участие на муниципальном уровне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r w:rsidRPr="008F3AEC">
              <w:t>Участие на региональном уровне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r w:rsidRPr="008F3AEC">
              <w:t>Участие на всероссийском уровне</w:t>
            </w:r>
          </w:p>
        </w:tc>
      </w:tr>
      <w:tr w:rsidR="00B52BE2" w:rsidRPr="0022196F" w:rsidTr="00F35C28">
        <w:trPr>
          <w:trHeight w:val="956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0C67AE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contextualSpacing/>
              <w:jc w:val="both"/>
            </w:pP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E2" w:rsidRPr="008F3AEC" w:rsidRDefault="00B52BE2" w:rsidP="00B52BE2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3759F1" w:rsidRPr="0022196F" w:rsidTr="00F35C28">
        <w:trPr>
          <w:trHeight w:val="1408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F1" w:rsidRPr="008F3AEC" w:rsidRDefault="003759F1" w:rsidP="000C67AE">
            <w:pPr>
              <w:numPr>
                <w:ilvl w:val="0"/>
                <w:numId w:val="22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pStyle w:val="a4"/>
              <w:rPr>
                <w:sz w:val="24"/>
                <w:szCs w:val="24"/>
                <w:lang w:val="ru-RU" w:eastAsia="en-US"/>
              </w:rPr>
            </w:pPr>
            <w:r w:rsidRPr="008F3AEC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  <w:p w:rsidR="003759F1" w:rsidRPr="008F3AEC" w:rsidRDefault="003759F1" w:rsidP="00B52BE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F1" w:rsidRPr="008F3AEC" w:rsidRDefault="003759F1" w:rsidP="00BA7F75">
            <w:pPr>
              <w:contextualSpacing/>
              <w:jc w:val="both"/>
            </w:pPr>
            <w:r w:rsidRPr="008F3AEC">
              <w:rPr>
                <w:lang w:eastAsia="en-US"/>
              </w:rPr>
              <w:t>Опыт не обобщён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F1" w:rsidRPr="008F3AEC" w:rsidRDefault="003759F1" w:rsidP="00BA7F7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Материалы «Из опыта работы» на уровне ОО 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F1" w:rsidRPr="008F3AEC" w:rsidRDefault="003759F1" w:rsidP="00BA7F7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Целостный опыт обобщен на уровне ОО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F1" w:rsidRPr="008F3AEC" w:rsidRDefault="003759F1" w:rsidP="00BA7F7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 w:eastAsia="en-US"/>
              </w:rPr>
              <w:t xml:space="preserve">Материалы «Из опыта работы» размещены на сайте  ОГАОУ ДПО «БелИРО» в разделе «Банк </w:t>
            </w:r>
            <w:r w:rsidRPr="008F3AEC">
              <w:rPr>
                <w:lang w:val="ru-RU" w:eastAsia="en-US"/>
              </w:rPr>
              <w:lastRenderedPageBreak/>
              <w:t>лучших образовательных практик».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F1" w:rsidRPr="008F3AEC" w:rsidRDefault="003759F1" w:rsidP="00BA7F75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 w:eastAsia="en-US"/>
              </w:rPr>
              <w:lastRenderedPageBreak/>
              <w:t xml:space="preserve">Целостный опыт обобщен на региональном уровне и размещен на сайте ОГАОУ ДПО «БелИРО» в разделе «Банк актуального педагогического </w:t>
            </w:r>
            <w:r w:rsidRPr="008F3AEC">
              <w:rPr>
                <w:lang w:val="ru-RU" w:eastAsia="en-US"/>
              </w:rPr>
              <w:lastRenderedPageBreak/>
              <w:t>опыта».</w:t>
            </w:r>
          </w:p>
        </w:tc>
      </w:tr>
      <w:tr w:rsidR="003759F1" w:rsidRPr="0022196F" w:rsidTr="00F35C28">
        <w:trPr>
          <w:trHeight w:val="632"/>
        </w:trPr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9F1" w:rsidRPr="008F3AEC" w:rsidRDefault="003759F1" w:rsidP="000C67AE">
            <w:pPr>
              <w:numPr>
                <w:ilvl w:val="0"/>
                <w:numId w:val="22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pStyle w:val="a4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contextualSpacing/>
              <w:rPr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F1" w:rsidRPr="008F3AEC" w:rsidRDefault="003759F1" w:rsidP="00B52BE2">
            <w:pPr>
              <w:contextualSpacing/>
              <w:rPr>
                <w:lang w:val="ru-RU" w:eastAsia="en-US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9F1" w:rsidRPr="008F3AEC" w:rsidRDefault="003759F1" w:rsidP="00B52BE2">
            <w:pPr>
              <w:contextualSpacing/>
              <w:rPr>
                <w:lang w:val="ru-RU" w:eastAsia="en-US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F1" w:rsidRPr="008F3AEC" w:rsidRDefault="003759F1" w:rsidP="00B52BE2">
            <w:pPr>
              <w:contextualSpacing/>
              <w:rPr>
                <w:lang w:val="ru-RU" w:eastAsia="en-US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9F1" w:rsidRPr="008F3AEC" w:rsidRDefault="003759F1" w:rsidP="00B52BE2">
            <w:pPr>
              <w:ind w:right="-109"/>
              <w:contextualSpacing/>
              <w:rPr>
                <w:lang w:val="ru-RU" w:eastAsia="en-US"/>
              </w:rPr>
            </w:pPr>
            <w:r w:rsidRPr="008F3AEC">
              <w:rPr>
                <w:lang w:val="ru-RU"/>
              </w:rPr>
              <w:t>При наличии более 1 материала, обобщенного на региональном уровне, +1 балл за каждый материал «Из опыта работы», +2 балла за АПО (но не более 3-х баллов)</w:t>
            </w:r>
          </w:p>
        </w:tc>
      </w:tr>
      <w:tr w:rsidR="003759F1" w:rsidRPr="008F3AEC" w:rsidTr="00F35C28">
        <w:trPr>
          <w:trHeight w:val="40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F1" w:rsidRPr="008F3AEC" w:rsidRDefault="003759F1" w:rsidP="000C67AE">
            <w:pPr>
              <w:numPr>
                <w:ilvl w:val="0"/>
                <w:numId w:val="22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работы в качестве куратора по основным направлениям деятельности:</w:t>
            </w:r>
          </w:p>
          <w:p w:rsidR="003759F1" w:rsidRPr="008F3AEC" w:rsidRDefault="003759F1" w:rsidP="00B52BE2">
            <w:pPr>
              <w:jc w:val="both"/>
              <w:rPr>
                <w:lang w:val="ru-RU"/>
              </w:rPr>
            </w:pPr>
            <w:r w:rsidRPr="008F3AEC">
              <w:rPr>
                <w:i/>
                <w:lang w:val="ru-RU"/>
              </w:rPr>
              <w:t>-</w:t>
            </w:r>
            <w:r w:rsidRPr="008F3AEC">
              <w:rPr>
                <w:lang w:val="ru-RU"/>
              </w:rPr>
              <w:t>наличие системы воспитательной работы,</w:t>
            </w:r>
          </w:p>
          <w:p w:rsidR="003759F1" w:rsidRPr="008F3AEC" w:rsidRDefault="003759F1" w:rsidP="00B52BE2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-наличие системы самоуправления в группе,</w:t>
            </w:r>
          </w:p>
          <w:p w:rsidR="003759F1" w:rsidRPr="008F3AEC" w:rsidRDefault="003759F1" w:rsidP="00B52BE2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-отсутствие или уменьшение количества правонарушений и нарушений общественного порядка обучающимися,</w:t>
            </w:r>
          </w:p>
          <w:p w:rsidR="003759F1" w:rsidRPr="008F3AEC" w:rsidRDefault="003759F1" w:rsidP="00B52BE2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-отсутствие или уменьшение количества пропусков занятий без уважительных причин,</w:t>
            </w:r>
          </w:p>
          <w:p w:rsidR="003759F1" w:rsidRPr="008F3AEC" w:rsidRDefault="003759F1" w:rsidP="00B52BE2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-участие группы в общественной жизни образовательной организации, </w:t>
            </w:r>
          </w:p>
          <w:p w:rsidR="003759F1" w:rsidRPr="008F3AEC" w:rsidRDefault="003759F1" w:rsidP="00B52BE2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-отлаженная система взаимодействия с родителями,</w:t>
            </w:r>
          </w:p>
          <w:p w:rsidR="003759F1" w:rsidRPr="008F3AEC" w:rsidRDefault="003759F1" w:rsidP="00B52BE2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-отсутствие жалоб и обращений родителей на неправомерные действия куратора.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F1" w:rsidRPr="008F3AEC" w:rsidRDefault="003759F1" w:rsidP="0076270D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 организации (декана или ректора)</w:t>
            </w:r>
          </w:p>
          <w:p w:rsidR="003759F1" w:rsidRPr="008F3AEC" w:rsidRDefault="003759F1" w:rsidP="00B52BE2">
            <w:pPr>
              <w:jc w:val="both"/>
              <w:rPr>
                <w:lang w:val="ru-RU"/>
              </w:rPr>
            </w:pPr>
          </w:p>
          <w:p w:rsidR="003759F1" w:rsidRPr="008F3AEC" w:rsidRDefault="003759F1" w:rsidP="00B52BE2">
            <w:pPr>
              <w:rPr>
                <w:lang w:val="ru-RU"/>
              </w:rPr>
            </w:pPr>
          </w:p>
          <w:p w:rsidR="003759F1" w:rsidRPr="008F3AEC" w:rsidRDefault="003759F1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(с указанием количества реализуемых показателей и развернутой информацией о каждом из реализуемых показателях)</w:t>
            </w:r>
          </w:p>
          <w:p w:rsidR="003759F1" w:rsidRPr="008F3AEC" w:rsidRDefault="003759F1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Приказ о кураторстве.</w:t>
            </w:r>
          </w:p>
          <w:p w:rsidR="003759F1" w:rsidRPr="008F3AEC" w:rsidRDefault="003759F1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Документы, подтверждающие достижения группы (грамоты, дипломы, приказы и т.д.).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F1" w:rsidRPr="008F3AEC" w:rsidRDefault="003759F1" w:rsidP="00BA7F75">
            <w:pPr>
              <w:jc w:val="both"/>
            </w:pPr>
            <w:r w:rsidRPr="008F3AEC">
              <w:t>реализуются менее 4 показателей</w:t>
            </w:r>
          </w:p>
          <w:p w:rsidR="003759F1" w:rsidRPr="008F3AEC" w:rsidRDefault="003759F1" w:rsidP="00BA7F75">
            <w:pPr>
              <w:jc w:val="both"/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F1" w:rsidRPr="008F3AEC" w:rsidRDefault="003759F1" w:rsidP="00BA7F75">
            <w:pPr>
              <w:jc w:val="both"/>
            </w:pPr>
            <w:r w:rsidRPr="008F3AEC">
              <w:t>реализуются 4 показателя</w:t>
            </w:r>
          </w:p>
          <w:p w:rsidR="003759F1" w:rsidRPr="008F3AEC" w:rsidRDefault="003759F1" w:rsidP="00BA7F75">
            <w:pPr>
              <w:jc w:val="both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A7F75">
            <w:pPr>
              <w:jc w:val="both"/>
            </w:pPr>
            <w:r w:rsidRPr="008F3AEC">
              <w:t>реализуются 5 показателей</w:t>
            </w:r>
          </w:p>
          <w:p w:rsidR="003759F1" w:rsidRPr="008F3AEC" w:rsidRDefault="003759F1" w:rsidP="00BA7F75">
            <w:pPr>
              <w:jc w:val="both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A7F75">
            <w:pPr>
              <w:jc w:val="both"/>
            </w:pPr>
            <w:r w:rsidRPr="008F3AEC">
              <w:t>реализуются 6 показателей</w:t>
            </w:r>
          </w:p>
          <w:p w:rsidR="003759F1" w:rsidRPr="008F3AEC" w:rsidRDefault="003759F1" w:rsidP="00BA7F75">
            <w:pPr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A7F75">
            <w:pPr>
              <w:jc w:val="both"/>
            </w:pPr>
            <w:r w:rsidRPr="008F3AEC">
              <w:t>реализуются 7 показателей</w:t>
            </w:r>
          </w:p>
        </w:tc>
      </w:tr>
      <w:tr w:rsidR="003759F1" w:rsidRPr="0022196F" w:rsidTr="00F35C28">
        <w:trPr>
          <w:trHeight w:val="1557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F1" w:rsidRPr="008F3AEC" w:rsidRDefault="003759F1" w:rsidP="000C67AE">
            <w:pPr>
              <w:numPr>
                <w:ilvl w:val="0"/>
                <w:numId w:val="22"/>
              </w:numPr>
              <w:contextualSpacing/>
            </w:pP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jc w:val="both"/>
            </w:pPr>
            <w:r w:rsidRPr="008F3AEC">
              <w:rPr>
                <w:lang w:val="ru-RU"/>
              </w:rPr>
              <w:t xml:space="preserve">Профессиональная активность педагога по профилю основной работы: участие в экспертных комиссиях, в составе жюри конкурсов, руководство ПЦК, отделения  или МО, творческими группами, организация и проведение мероприятий; эксперты </w:t>
            </w:r>
            <w:r w:rsidRPr="008F3AEC">
              <w:rPr>
                <w:lang w:val="en-US"/>
              </w:rPr>
              <w:t>WSKR</w:t>
            </w:r>
            <w:r w:rsidRPr="008F3AEC">
              <w:rPr>
                <w:lang w:val="ru-RU"/>
              </w:rPr>
              <w:t xml:space="preserve">, ДЭ, </w:t>
            </w:r>
            <w:r w:rsidRPr="008F3AEC">
              <w:rPr>
                <w:lang w:val="en-US"/>
              </w:rPr>
              <w:t>Abilimpics</w:t>
            </w:r>
            <w:r w:rsidRPr="008F3AEC">
              <w:rPr>
                <w:lang w:val="ru-RU"/>
              </w:rPr>
              <w:t xml:space="preserve">, наставники для педагогических работников ОО. </w:t>
            </w:r>
            <w:r w:rsidRPr="008F3AEC">
              <w:t>Руководство первичной профсоюзной организацией.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Приказы, </w:t>
            </w:r>
          </w:p>
          <w:p w:rsidR="003759F1" w:rsidRPr="008F3AEC" w:rsidRDefault="003759F1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сертификаты, свидетельства.</w:t>
            </w:r>
          </w:p>
          <w:p w:rsidR="003759F1" w:rsidRPr="008F3AEC" w:rsidRDefault="003759F1" w:rsidP="00B52BE2">
            <w:pPr>
              <w:rPr>
                <w:lang w:val="ru-RU"/>
              </w:rPr>
            </w:pPr>
          </w:p>
          <w:p w:rsidR="003759F1" w:rsidRPr="008F3AEC" w:rsidRDefault="003759F1" w:rsidP="00B52BE2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Документы, подтверждающие работу в качестве эксперта, наставника</w:t>
            </w:r>
          </w:p>
          <w:p w:rsidR="003759F1" w:rsidRPr="008F3AEC" w:rsidRDefault="003759F1" w:rsidP="00B52BE2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3759F1" w:rsidRPr="008F3AEC" w:rsidRDefault="003759F1" w:rsidP="00B52BE2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Протокол заседания профкома.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jc w:val="center"/>
            </w:pPr>
            <w:r w:rsidRPr="008F3AEC">
              <w:t>не участвует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r w:rsidRPr="008F3AEC">
              <w:t>на уровне ПОО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r w:rsidRPr="008F3AEC">
              <w:t>на муниципальном уровне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r w:rsidRPr="008F3AEC">
              <w:t>на региональном уровне</w:t>
            </w:r>
          </w:p>
          <w:p w:rsidR="003759F1" w:rsidRPr="008F3AEC" w:rsidRDefault="003759F1" w:rsidP="00B52BE2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на всероссийском или международном уровне</w:t>
            </w:r>
          </w:p>
        </w:tc>
      </w:tr>
      <w:tr w:rsidR="003759F1" w:rsidRPr="0022196F" w:rsidTr="00F35C28">
        <w:trPr>
          <w:trHeight w:val="1007"/>
        </w:trPr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9F1" w:rsidRPr="008F3AEC" w:rsidRDefault="003759F1" w:rsidP="000C67AE">
            <w:pPr>
              <w:numPr>
                <w:ilvl w:val="0"/>
                <w:numId w:val="22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rPr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rPr>
                <w:lang w:val="ru-RU"/>
              </w:rPr>
            </w:pP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ind w:right="-26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</w:t>
            </w:r>
          </w:p>
          <w:p w:rsidR="003759F1" w:rsidRPr="008F3AEC" w:rsidRDefault="003759F1" w:rsidP="00B52BE2">
            <w:pPr>
              <w:ind w:right="-26"/>
              <w:rPr>
                <w:lang w:val="ru-RU"/>
              </w:rPr>
            </w:pPr>
            <w:r w:rsidRPr="008F3AEC">
              <w:rPr>
                <w:lang w:val="ru-RU"/>
              </w:rPr>
              <w:t xml:space="preserve"> (но не более 3 баллов).</w:t>
            </w:r>
          </w:p>
        </w:tc>
      </w:tr>
      <w:tr w:rsidR="003759F1" w:rsidRPr="0022196F" w:rsidTr="00F35C28">
        <w:tc>
          <w:tcPr>
            <w:tcW w:w="15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Pr="008F3AEC" w:rsidRDefault="003759F1" w:rsidP="00B52BE2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F3AEC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8F3AEC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3759F1" w:rsidRPr="008F3AEC" w:rsidTr="00F35C28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0C67AE">
            <w:pPr>
              <w:numPr>
                <w:ilvl w:val="0"/>
                <w:numId w:val="22"/>
              </w:numPr>
              <w:rPr>
                <w:lang w:val="ru-RU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методические рекомендации по выполнению практических, лабораторных, самостоятельных работ, фонды оценочных средств, дидактический материал, методические разработки занятий, внеурочных мероприятий по преподаваемым дисциплинам)</w:t>
            </w:r>
          </w:p>
          <w:p w:rsidR="003759F1" w:rsidRPr="008F3AEC" w:rsidRDefault="003759F1" w:rsidP="00B52BE2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- печатные издания (методические пособия, практикумы, рабочие тетради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r w:rsidRPr="008F3AEC">
              <w:t>Титульный лист, рецензия.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r w:rsidRPr="008F3AEC">
              <w:t>Не участвует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76270D">
            <w:r w:rsidRPr="008F3AEC">
              <w:rPr>
                <w:lang w:val="ru-RU"/>
              </w:rPr>
              <w:t xml:space="preserve">Комплекс учебно-методических материалов, /методическое пособие и др. имеет внутреннюю рецензию </w:t>
            </w:r>
            <w:r w:rsidRPr="008F3AEC"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52BE2"/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Комплекс учебно-методических материалов,  /методическое пособие и др. имеет рецензию муниципального НМИЦ/ профильного ВУЗа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r w:rsidRPr="008F3AEC">
              <w:rPr>
                <w:lang w:val="ru-RU"/>
              </w:rPr>
              <w:t xml:space="preserve">Комплекс учебно-методических материалов,  /методическое пособие и др. имеет рецензию  </w:t>
            </w:r>
            <w:r w:rsidRPr="008F3AEC">
              <w:t>ОГАОУ ДПО «БелИРО»</w:t>
            </w:r>
          </w:p>
        </w:tc>
      </w:tr>
      <w:tr w:rsidR="003759F1" w:rsidRPr="0022196F" w:rsidTr="00F35C28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0C67AE">
            <w:pPr>
              <w:numPr>
                <w:ilvl w:val="0"/>
                <w:numId w:val="22"/>
              </w:num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ind w:right="-131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Разработка электронных образовательных ресурсов и дистанционных курсов для обучающихся, размещенных на платформах, рекомендованных ДВКП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331124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 организации, (декана или ректора)</w:t>
            </w:r>
            <w:r w:rsidR="00331124" w:rsidRPr="008F3AEC">
              <w:rPr>
                <w:lang w:val="ru-RU"/>
              </w:rPr>
              <w:t xml:space="preserve"> </w:t>
            </w:r>
            <w:r w:rsidRPr="008F3AEC">
              <w:rPr>
                <w:lang w:val="ru-RU"/>
              </w:rPr>
              <w:t xml:space="preserve">ответственного за работу платформы, с </w:t>
            </w:r>
            <w:r w:rsidRPr="008F3AEC">
              <w:rPr>
                <w:lang w:val="ru-RU"/>
              </w:rPr>
              <w:lastRenderedPageBreak/>
              <w:t xml:space="preserve">перечнем размещенных материалов и ссылкой на их размещение; </w:t>
            </w:r>
          </w:p>
          <w:p w:rsidR="003759F1" w:rsidRPr="008F3AEC" w:rsidRDefault="003759F1" w:rsidP="00B52BE2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скриншот размещенного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contextualSpacing/>
            </w:pPr>
            <w:r w:rsidRPr="008F3AEC">
              <w:lastRenderedPageBreak/>
              <w:t>Отсутствуют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размещены 2 ЭОР или дистанционных курса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размещены 3 ЭОР или дистанционных курсов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размещены 4 и более ЭОР или дистанционных курсов</w:t>
            </w:r>
          </w:p>
        </w:tc>
      </w:tr>
      <w:tr w:rsidR="003759F1" w:rsidRPr="0022196F" w:rsidTr="00F35C28">
        <w:trPr>
          <w:trHeight w:val="1575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F1" w:rsidRPr="008F3AEC" w:rsidRDefault="003759F1" w:rsidP="000C67AE">
            <w:pPr>
              <w:numPr>
                <w:ilvl w:val="0"/>
                <w:numId w:val="22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9F1" w:rsidRPr="008F3AEC" w:rsidRDefault="003759F1" w:rsidP="00B52BE2">
            <w:pPr>
              <w:pStyle w:val="22"/>
              <w:spacing w:after="0" w:line="240" w:lineRule="auto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образованием, культурой,  руководителей ОО, ОГАОУ ДПО «БелИРО»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9F1" w:rsidRPr="008F3AEC" w:rsidRDefault="003759F1" w:rsidP="00B52BE2">
            <w:pPr>
              <w:contextualSpacing/>
              <w:jc w:val="both"/>
            </w:pPr>
            <w:r w:rsidRPr="008F3AEC">
              <w:t xml:space="preserve">Грамоты, дипломы, благодарности, приказы.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9F1" w:rsidRPr="008F3AEC" w:rsidRDefault="003759F1" w:rsidP="00B52BE2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9F1" w:rsidRPr="008F3AEC" w:rsidRDefault="003759F1" w:rsidP="00B52BE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муниципального, регионального и всероссийского уровня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contextualSpacing/>
              <w:jc w:val="both"/>
            </w:pPr>
            <w:r w:rsidRPr="008F3AEC">
              <w:t>Победители, призёры  муниципальных профессиональных конкурсов</w:t>
            </w:r>
          </w:p>
          <w:p w:rsidR="003759F1" w:rsidRPr="008F3AEC" w:rsidRDefault="003759F1" w:rsidP="00B52BE2">
            <w:pPr>
              <w:contextualSpacing/>
              <w:jc w:val="both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Pr="008F3AEC" w:rsidRDefault="003759F1" w:rsidP="00B52BE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очных региональных профессиональных конкурсов</w:t>
            </w:r>
          </w:p>
          <w:p w:rsidR="003759F1" w:rsidRPr="008F3AEC" w:rsidRDefault="003759F1" w:rsidP="00B52BE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Pr="008F3AEC" w:rsidRDefault="003759F1" w:rsidP="00B52BE2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всероссийского этапа, в том числе  конкурсного отбора лучших педагогов</w:t>
            </w:r>
          </w:p>
        </w:tc>
      </w:tr>
      <w:tr w:rsidR="003759F1" w:rsidRPr="008F3AEC" w:rsidTr="00F35C28">
        <w:trPr>
          <w:trHeight w:val="1335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0C67AE">
            <w:pPr>
              <w:numPr>
                <w:ilvl w:val="0"/>
                <w:numId w:val="22"/>
              </w:numPr>
              <w:contextualSpacing/>
              <w:rPr>
                <w:lang w:val="ru-RU"/>
              </w:rPr>
            </w:pPr>
          </w:p>
        </w:tc>
        <w:tc>
          <w:tcPr>
            <w:tcW w:w="3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Pr="008F3AEC" w:rsidRDefault="003759F1" w:rsidP="00B52BE2">
            <w:pPr>
              <w:pStyle w:val="22"/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Pr="008F3AEC" w:rsidRDefault="003759F1" w:rsidP="00B52BE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Pr="008F3AEC" w:rsidRDefault="003759F1" w:rsidP="00B52BE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F1" w:rsidRPr="008F3AEC" w:rsidRDefault="003759F1" w:rsidP="00B52BE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При наличии более 1 призового места в региональных, всероссийских и международных мероприятиях +1 балл  дополнительно за каждую </w:t>
            </w:r>
            <w:r w:rsidRPr="008F3AEC">
              <w:t>(но не более 3 баллов)</w:t>
            </w:r>
          </w:p>
          <w:p w:rsidR="003759F1" w:rsidRPr="008F3AEC" w:rsidRDefault="003759F1" w:rsidP="00B52BE2">
            <w:pPr>
              <w:contextualSpacing/>
              <w:jc w:val="both"/>
            </w:pPr>
          </w:p>
        </w:tc>
      </w:tr>
      <w:tr w:rsidR="003759F1" w:rsidRPr="0022196F" w:rsidTr="00F35C28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0C67AE">
            <w:pPr>
              <w:numPr>
                <w:ilvl w:val="0"/>
                <w:numId w:val="22"/>
              </w:num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363141">
            <w:pPr>
              <w:rPr>
                <w:lang w:val="ru-RU"/>
              </w:rPr>
            </w:pPr>
            <w:r w:rsidRPr="008F3AEC">
              <w:rPr>
                <w:lang w:val="ru-RU"/>
              </w:rPr>
              <w:t xml:space="preserve">Признание сообществом профессиональных достижений педагога (поощрения за подготовку обучающихся и проведение заочных конкурсов на уровне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r w:rsidRPr="008F3AEC">
              <w:t xml:space="preserve">Грамоты, благодарности, приказы, удостоверения.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r w:rsidRPr="008F3AEC">
              <w:t>Отсутствуют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F1" w:rsidRPr="008F3AEC" w:rsidRDefault="003759F1" w:rsidP="00B52BE2">
            <w:pPr>
              <w:rPr>
                <w:lang w:val="ru-RU"/>
              </w:rPr>
            </w:pPr>
            <w:r w:rsidRPr="008F3AEC">
              <w:rPr>
                <w:lang w:val="ru-RU"/>
              </w:rPr>
              <w:t>Награды отраслевые, АСИ,других федеральных органов и организаций (независимо от срока)</w:t>
            </w:r>
          </w:p>
        </w:tc>
      </w:tr>
    </w:tbl>
    <w:p w:rsidR="00B52BE2" w:rsidRPr="008F3AEC" w:rsidRDefault="00B52BE2" w:rsidP="00B52BE2">
      <w:pPr>
        <w:jc w:val="center"/>
        <w:rPr>
          <w:b/>
          <w:lang w:val="ru-RU"/>
        </w:rPr>
      </w:pPr>
    </w:p>
    <w:p w:rsidR="00331124" w:rsidRPr="008F3AEC" w:rsidRDefault="00331124" w:rsidP="00B52BE2">
      <w:pPr>
        <w:jc w:val="center"/>
        <w:rPr>
          <w:b/>
          <w:lang w:val="ru-RU"/>
        </w:rPr>
      </w:pPr>
    </w:p>
    <w:p w:rsidR="00B52BE2" w:rsidRPr="008F3AEC" w:rsidRDefault="00B52BE2" w:rsidP="00B52BE2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331124" w:rsidRPr="008F3AEC" w:rsidRDefault="00331124" w:rsidP="00B52BE2">
      <w:pPr>
        <w:jc w:val="center"/>
        <w:rPr>
          <w:b/>
          <w:lang w:val="ru-RU"/>
        </w:rPr>
      </w:pPr>
    </w:p>
    <w:p w:rsidR="00B52BE2" w:rsidRPr="008F3AEC" w:rsidRDefault="00B52BE2" w:rsidP="00331124">
      <w:pPr>
        <w:jc w:val="center"/>
        <w:rPr>
          <w:lang w:val="ru-RU"/>
        </w:rPr>
      </w:pPr>
      <w:r w:rsidRPr="008F3AEC">
        <w:rPr>
          <w:lang w:val="ru-RU"/>
        </w:rPr>
        <w:t>- 60 баллов и более – уровень высшей квалификационной категории;</w:t>
      </w:r>
    </w:p>
    <w:p w:rsidR="00B52BE2" w:rsidRPr="008F3AEC" w:rsidRDefault="00B52BE2" w:rsidP="00331124">
      <w:pPr>
        <w:jc w:val="center"/>
        <w:rPr>
          <w:lang w:val="ru-RU"/>
        </w:rPr>
      </w:pPr>
      <w:r w:rsidRPr="008F3AEC">
        <w:rPr>
          <w:lang w:val="ru-RU"/>
        </w:rPr>
        <w:t>- от 50 до 59 баллов – уровень первой квалификационной категории;</w:t>
      </w:r>
    </w:p>
    <w:p w:rsidR="00B52BE2" w:rsidRPr="008F3AEC" w:rsidRDefault="00B52BE2" w:rsidP="00331124">
      <w:pPr>
        <w:jc w:val="center"/>
        <w:rPr>
          <w:lang w:val="ru-RU"/>
        </w:rPr>
      </w:pPr>
      <w:r w:rsidRPr="008F3AEC">
        <w:rPr>
          <w:lang w:val="ru-RU"/>
        </w:rPr>
        <w:lastRenderedPageBreak/>
        <w:t>- ниже 50 баллов – уровень, недостаточный для аттестации на квалификационную категорию.</w:t>
      </w:r>
    </w:p>
    <w:p w:rsidR="00331124" w:rsidRPr="008F3AEC" w:rsidRDefault="00331124" w:rsidP="00331124">
      <w:pPr>
        <w:jc w:val="center"/>
        <w:rPr>
          <w:lang w:val="ru-RU"/>
        </w:rPr>
      </w:pPr>
    </w:p>
    <w:p w:rsidR="00B52BE2" w:rsidRPr="008F3AEC" w:rsidRDefault="00B52BE2" w:rsidP="00331124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Для преподавателей, являющихся руководителями (заместителями руководителя) образовательных организаций:</w:t>
      </w:r>
    </w:p>
    <w:p w:rsidR="00331124" w:rsidRPr="008F3AEC" w:rsidRDefault="00331124" w:rsidP="00331124">
      <w:pPr>
        <w:jc w:val="center"/>
        <w:rPr>
          <w:b/>
          <w:lang w:val="ru-RU"/>
        </w:rPr>
      </w:pPr>
    </w:p>
    <w:p w:rsidR="00B52BE2" w:rsidRPr="008F3AEC" w:rsidRDefault="00B52BE2" w:rsidP="00331124">
      <w:pPr>
        <w:jc w:val="center"/>
        <w:rPr>
          <w:lang w:val="ru-RU"/>
        </w:rPr>
      </w:pPr>
      <w:r w:rsidRPr="008F3AEC">
        <w:rPr>
          <w:lang w:val="ru-RU"/>
        </w:rPr>
        <w:t>- 50 баллов и более – уровень высшей квалификационной категории;</w:t>
      </w:r>
    </w:p>
    <w:p w:rsidR="00B52BE2" w:rsidRPr="008F3AEC" w:rsidRDefault="00B52BE2" w:rsidP="00331124">
      <w:pPr>
        <w:jc w:val="center"/>
        <w:rPr>
          <w:lang w:val="ru-RU"/>
        </w:rPr>
      </w:pPr>
      <w:r w:rsidRPr="008F3AEC">
        <w:rPr>
          <w:lang w:val="ru-RU"/>
        </w:rPr>
        <w:t>- от 40 до 49 баллов – уровень первой квалификационной категории;</w:t>
      </w:r>
    </w:p>
    <w:p w:rsidR="00B52BE2" w:rsidRPr="008F3AEC" w:rsidRDefault="00B52BE2" w:rsidP="00331124">
      <w:pPr>
        <w:jc w:val="center"/>
        <w:rPr>
          <w:lang w:val="ru-RU"/>
        </w:rPr>
      </w:pPr>
      <w:r w:rsidRPr="008F3AEC">
        <w:rPr>
          <w:lang w:val="ru-RU"/>
        </w:rPr>
        <w:t>- ниже 40 баллов – уровень, недостаточный для аттестации на квалификационную категорию.</w:t>
      </w:r>
    </w:p>
    <w:p w:rsidR="00B52BE2" w:rsidRPr="008F3AEC" w:rsidRDefault="00B52BE2" w:rsidP="00B52BE2">
      <w:pPr>
        <w:rPr>
          <w:lang w:val="ru-RU"/>
        </w:rPr>
      </w:pPr>
    </w:p>
    <w:p w:rsidR="00A30EE3" w:rsidRDefault="00A30EE3" w:rsidP="00A30EE3">
      <w:pPr>
        <w:shd w:val="clear" w:color="auto" w:fill="FFFFFF"/>
        <w:jc w:val="center"/>
        <w:rPr>
          <w:lang w:val="ru-RU"/>
        </w:rPr>
      </w:pPr>
    </w:p>
    <w:p w:rsidR="00957528" w:rsidRDefault="00957528" w:rsidP="00A30EE3">
      <w:pPr>
        <w:shd w:val="clear" w:color="auto" w:fill="FFFFFF"/>
        <w:jc w:val="center"/>
        <w:rPr>
          <w:lang w:val="ru-RU"/>
        </w:rPr>
      </w:pPr>
    </w:p>
    <w:p w:rsidR="00957528" w:rsidRDefault="00957528" w:rsidP="00A30EE3">
      <w:pPr>
        <w:shd w:val="clear" w:color="auto" w:fill="FFFFFF"/>
        <w:jc w:val="center"/>
        <w:rPr>
          <w:lang w:val="ru-RU"/>
        </w:rPr>
      </w:pPr>
    </w:p>
    <w:p w:rsidR="00957528" w:rsidRDefault="00957528" w:rsidP="00A30EE3">
      <w:pPr>
        <w:shd w:val="clear" w:color="auto" w:fill="FFFFFF"/>
        <w:jc w:val="center"/>
        <w:rPr>
          <w:lang w:val="ru-RU"/>
        </w:rPr>
      </w:pPr>
    </w:p>
    <w:sectPr w:rsidR="00957528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322" w:rsidRDefault="00C86322" w:rsidP="004A581F">
      <w:r>
        <w:separator/>
      </w:r>
    </w:p>
  </w:endnote>
  <w:endnote w:type="continuationSeparator" w:id="1">
    <w:p w:rsidR="00C86322" w:rsidRDefault="00C86322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322" w:rsidRDefault="00C86322" w:rsidP="004A581F">
      <w:r>
        <w:separator/>
      </w:r>
    </w:p>
  </w:footnote>
  <w:footnote w:type="continuationSeparator" w:id="1">
    <w:p w:rsidR="00C86322" w:rsidRDefault="00C86322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196F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4F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86322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2</cp:revision>
  <cp:lastPrinted>2020-08-28T09:51:00Z</cp:lastPrinted>
  <dcterms:created xsi:type="dcterms:W3CDTF">2020-09-08T08:59:00Z</dcterms:created>
  <dcterms:modified xsi:type="dcterms:W3CDTF">2020-09-08T08:59:00Z</dcterms:modified>
</cp:coreProperties>
</file>