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252"/>
        <w:gridCol w:w="8676"/>
      </w:tblGrid>
      <w:tr w:rsidR="004B7D34" w:rsidRPr="000B398B" w:rsidTr="004B7D34">
        <w:trPr>
          <w:trHeight w:val="1418"/>
        </w:trPr>
        <w:tc>
          <w:tcPr>
            <w:tcW w:w="2094" w:type="pct"/>
          </w:tcPr>
          <w:p w:rsidR="004B7D34" w:rsidRPr="000B398B" w:rsidRDefault="004B7D34" w:rsidP="004B7D3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06" w:type="pct"/>
          </w:tcPr>
          <w:p w:rsidR="004B7D34" w:rsidRPr="000B398B" w:rsidRDefault="004B7D34" w:rsidP="004B7D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4B7D34" w:rsidRPr="000B398B" w:rsidRDefault="004B7D34" w:rsidP="004B7D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4B7D34" w:rsidRPr="000B398B" w:rsidRDefault="004B7D34" w:rsidP="004B7D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4B7D34" w:rsidRPr="000B398B" w:rsidRDefault="004B7D34" w:rsidP="004B7D34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4B7D34" w:rsidRPr="000B398B" w:rsidRDefault="004B7D34" w:rsidP="004B7D34">
      <w:pPr>
        <w:jc w:val="center"/>
        <w:rPr>
          <w:b/>
          <w:lang w:val="ru-RU"/>
        </w:rPr>
      </w:pPr>
    </w:p>
    <w:p w:rsidR="004B7D34" w:rsidRPr="000B398B" w:rsidRDefault="004B7D34" w:rsidP="004B7D34">
      <w:pPr>
        <w:jc w:val="center"/>
        <w:rPr>
          <w:b/>
          <w:lang w:val="ru-RU"/>
        </w:rPr>
      </w:pPr>
      <w:r w:rsidRPr="000B398B">
        <w:rPr>
          <w:b/>
          <w:lang w:val="ru-RU"/>
        </w:rPr>
        <w:t xml:space="preserve">Критерии аттестации на квалификационные категории </w:t>
      </w:r>
    </w:p>
    <w:p w:rsidR="004B7D34" w:rsidRPr="000B398B" w:rsidRDefault="004B7D34" w:rsidP="004B7D34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дошкольных образовательных организаций Белгородской области </w:t>
      </w:r>
    </w:p>
    <w:p w:rsidR="004B7D34" w:rsidRPr="000B398B" w:rsidRDefault="004B7D34" w:rsidP="004B7D34">
      <w:pPr>
        <w:pStyle w:val="a3"/>
        <w:rPr>
          <w:b/>
          <w:sz w:val="24"/>
          <w:szCs w:val="24"/>
        </w:rPr>
      </w:pPr>
      <w:r w:rsidRPr="000B398B">
        <w:rPr>
          <w:b/>
          <w:sz w:val="24"/>
          <w:szCs w:val="24"/>
        </w:rPr>
        <w:t>по должности «тьютор»</w:t>
      </w:r>
    </w:p>
    <w:p w:rsidR="004B7D34" w:rsidRPr="000B398B" w:rsidRDefault="004B7D34" w:rsidP="004B7D34">
      <w:pPr>
        <w:pStyle w:val="a3"/>
        <w:jc w:val="left"/>
        <w:rPr>
          <w:sz w:val="24"/>
        </w:rPr>
      </w:pPr>
    </w:p>
    <w:tbl>
      <w:tblPr>
        <w:tblW w:w="15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9"/>
        <w:gridCol w:w="3436"/>
        <w:gridCol w:w="1921"/>
        <w:gridCol w:w="1560"/>
        <w:gridCol w:w="1767"/>
        <w:gridCol w:w="1850"/>
        <w:gridCol w:w="49"/>
        <w:gridCol w:w="1801"/>
        <w:gridCol w:w="2002"/>
        <w:gridCol w:w="24"/>
      </w:tblGrid>
      <w:tr w:rsidR="004B7D34" w:rsidRPr="00B50197" w:rsidTr="004B7D34">
        <w:trPr>
          <w:gridAfter w:val="1"/>
          <w:wAfter w:w="21" w:type="dxa"/>
          <w:trHeight w:val="370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4B7D34" w:rsidRPr="000B398B" w:rsidTr="004B7D34">
        <w:trPr>
          <w:gridAfter w:val="1"/>
          <w:wAfter w:w="24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rPr>
                <w:b/>
                <w:lang w:val="ru-RU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rPr>
                <w:b/>
                <w:lang w:val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4B7D34" w:rsidRPr="00B50197" w:rsidTr="004B7D34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(положительная динамика - для высшей категории)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4B7D34" w:rsidRPr="00B50197" w:rsidTr="004B7D34">
        <w:trPr>
          <w:gridAfter w:val="1"/>
          <w:wAfter w:w="24" w:type="dxa"/>
          <w:trHeight w:val="5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Организация тьютором процесса индивидуальной работы с обучающимися по выявлению, формированию, развитию их познавательных интересов, персонального сопровождения в образовательном пространстве.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jc w:val="both"/>
            </w:pPr>
            <w:r w:rsidRPr="000B398B">
              <w:t>Справка руководителя.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jc w:val="both"/>
            </w:pPr>
            <w:r w:rsidRPr="000B398B">
              <w:t>Не реализует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r w:rsidRPr="000B398B">
              <w:t>Реализует индивидуальный образовательный маршрут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Реализует индивидуальный образовательный маршрут (индивидуальные образовательные маршруты) с освоением до 40%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Реализует индивидуальный образовательный маршрут (индивидуальные образовательные маршруты) с освоением 41%-59%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Реализует индивидуальный образовательный маршрут (индивидуальные образовательные маршруты)  с освоением свыше 60 % </w:t>
            </w:r>
          </w:p>
        </w:tc>
      </w:tr>
      <w:tr w:rsidR="004B7D34" w:rsidRPr="00B50197" w:rsidTr="004B7D34">
        <w:trPr>
          <w:gridAfter w:val="1"/>
          <w:wAfter w:w="24" w:type="dxa"/>
          <w:trHeight w:val="5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Осуществление тьюторской поддержки обучающихся с разными образовательными потребностями (по категориям):</w:t>
            </w:r>
          </w:p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-дети-инвалиды (с ОВЗ);</w:t>
            </w:r>
          </w:p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-дети с ОВЗ;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 xml:space="preserve">Справка руководителя ОО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</w:pPr>
            <w:r w:rsidRPr="000B398B">
              <w:t>Тьюторская поддержка не осуществляется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тьюторская поддержка ребенка с ОВЗ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тьюторская поддержка нескольких детей с ОВЗ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Осуществляется тьюторская поддержка </w:t>
            </w:r>
          </w:p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1 ребенка-инвалида с ОВЗ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тьюторская поддержка нескольких детей-инвалидов с ОВЗ / детей с ОВЗ и детей-</w:t>
            </w:r>
            <w:r w:rsidRPr="000B398B">
              <w:rPr>
                <w:lang w:val="ru-RU"/>
              </w:rPr>
              <w:lastRenderedPageBreak/>
              <w:t>инвалидов с ОВЗ</w:t>
            </w:r>
          </w:p>
        </w:tc>
      </w:tr>
      <w:tr w:rsidR="004B7D34" w:rsidRPr="00B50197" w:rsidTr="004B7D34">
        <w:trPr>
          <w:gridAfter w:val="1"/>
          <w:wAfter w:w="24" w:type="dxa"/>
          <w:trHeight w:val="5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Удовлетворённость потребителей образовательных услуг (родителей (законных представителей) деятельностью тьютора.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jc w:val="both"/>
            </w:pPr>
            <w:r w:rsidRPr="000B398B">
              <w:t xml:space="preserve">Справка руководителя ОО,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Наличие обоснованных жалоб со стороны родителей (законных представителей)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Положительная оценка родителей (законных представителей) по результатам анкетирования от 60до 74 % вопросов анкеты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Положительная оценка родителей (законных представителей) по результатам анкетирования от 75 до 84 % вопросов анкеты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оценка родителей (законных представителей) по результатам анкетирования от 85 до 94 % вопросов анкеты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оценка родителей (законных представителей) по результатам анкетирования от 95 до 100 % вопросов анкеты</w:t>
            </w:r>
          </w:p>
        </w:tc>
      </w:tr>
      <w:tr w:rsidR="004B7D34" w:rsidRPr="00B50197" w:rsidTr="004B7D34">
        <w:trPr>
          <w:gridAfter w:val="1"/>
          <w:wAfter w:w="24" w:type="dxa"/>
          <w:trHeight w:val="5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Совершенствование профессиональной деятельности с применением современных педагогических технологий </w:t>
            </w:r>
          </w:p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(достижения в области совершенствования методов обучения и воспитания).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Отсутствует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Отсутствует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Применение технологий носит единичный, характер применения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Технологии включены в коррекционную деятельность специалиста с ребенком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Технологии включены в деятельность специалиста системно по всем (взаимодействие с детьми, родителями, педагогами)</w:t>
            </w:r>
          </w:p>
        </w:tc>
      </w:tr>
      <w:tr w:rsidR="004B7D34" w:rsidRPr="00B50197" w:rsidTr="004B7D34">
        <w:trPr>
          <w:gridAfter w:val="1"/>
          <w:wAfter w:w="24" w:type="dxa"/>
          <w:trHeight w:val="5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Организация специальной образовательной среды для реализации индивидуальных образовательных маршрутов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r w:rsidRPr="000B398B">
              <w:t xml:space="preserve">Справка руководителя ДОО.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Созданная среда не используется в полном объеме для развития ребенка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Частично соответствует содержанию АООП ДО и возможностям ребенка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Полностью соответствует АООП ДО и возможностям ребенка особенностям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Осуществляется творческий подход к созданию специальной образовательной среды (реализуются принципы </w:t>
            </w:r>
            <w:r w:rsidRPr="000B398B">
              <w:rPr>
                <w:lang w:val="ru-RU"/>
              </w:rPr>
              <w:lastRenderedPageBreak/>
              <w:t>вариативности и полифункциональ-ности )</w:t>
            </w:r>
          </w:p>
        </w:tc>
      </w:tr>
      <w:tr w:rsidR="004B7D34" w:rsidRPr="000B398B" w:rsidTr="004B7D34">
        <w:trPr>
          <w:trHeight w:val="407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  <w:lang w:val="ru-RU"/>
              </w:rPr>
              <w:lastRenderedPageBreak/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 августа 2013 г8. </w:t>
            </w:r>
            <w:r w:rsidRPr="000B398B">
              <w:rPr>
                <w:b/>
              </w:rPr>
              <w:t>№662</w:t>
            </w:r>
          </w:p>
        </w:tc>
      </w:tr>
      <w:tr w:rsidR="004B7D34" w:rsidRPr="000B398B" w:rsidTr="004B7D34">
        <w:trPr>
          <w:gridAfter w:val="1"/>
          <w:wAfter w:w="24" w:type="dxa"/>
          <w:trHeight w:val="40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ind w:left="426"/>
              <w:contextualSpacing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</w:tr>
      <w:tr w:rsidR="004B7D34" w:rsidRPr="00B50197" w:rsidTr="004B7D34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познавательной, творческой, </w:t>
            </w:r>
          </w:p>
          <w:p w:rsidR="004B7D34" w:rsidRPr="000B398B" w:rsidRDefault="004B7D34" w:rsidP="004B7D34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4B7D34" w:rsidRPr="00B50197" w:rsidTr="004B7D34">
        <w:trPr>
          <w:gridAfter w:val="1"/>
          <w:wAfter w:w="24" w:type="dxa"/>
          <w:trHeight w:val="74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социально значимой деятельности: конкурсах, проектах, смотрах, выставках, конференциях, семинарах, фестивалях.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 (копии).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</w:pPr>
            <w:r w:rsidRPr="000B398B">
              <w:t>Не участвует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мероприятиях ДОО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4B7D34" w:rsidRPr="00B50197" w:rsidTr="004B7D34">
        <w:trPr>
          <w:gridAfter w:val="1"/>
          <w:wAfter w:w="24" w:type="dxa"/>
          <w:trHeight w:val="74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rPr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4B7D34" w:rsidRPr="00B50197" w:rsidTr="004B7D34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4B7D34" w:rsidRPr="000B398B" w:rsidRDefault="004B7D34" w:rsidP="004B7D34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4B7D34" w:rsidRPr="00B50197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0B398B">
              <w:rPr>
                <w:bCs/>
                <w:lang w:val="ru-RU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региональном уровне и размещен на сайте ОГАОУ ДПО «БелИРО» в разделе «Банк актуального </w:t>
            </w:r>
            <w:r w:rsidRPr="000B398B">
              <w:rPr>
                <w:lang w:val="ru-RU" w:eastAsia="en-US"/>
              </w:rPr>
              <w:lastRenderedPageBreak/>
              <w:t>педагогического опыта</w:t>
            </w:r>
            <w:r w:rsidRPr="000B398B">
              <w:rPr>
                <w:bCs/>
                <w:lang w:val="ru-RU"/>
              </w:rPr>
              <w:t>»</w:t>
            </w:r>
          </w:p>
        </w:tc>
      </w:tr>
      <w:tr w:rsidR="004B7D34" w:rsidRPr="00B50197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Взаимодействие с участниками образовательных отношений по направлениям:</w:t>
            </w: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консультирование педагогическая поддержка родителей;</w:t>
            </w: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-участие в заседаниях ПМПк;</w:t>
            </w: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участие в проведении комплексной диагностики;</w:t>
            </w: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- участие в разработке индивидуального образовательного маршрута; </w:t>
            </w: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участие в разработке адаптированной образовательной программы.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Справка, заверенная руководителем ОО и председателем ПМПк.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Отсутствует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Взаимодействие по 1 направлению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Взаимодействие по 2 направлениям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Взаимодействие по 3 направлениям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Взаимодействие по 4 и более направлениям</w:t>
            </w:r>
          </w:p>
        </w:tc>
      </w:tr>
      <w:tr w:rsidR="004B7D34" w:rsidRPr="00B50197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4B7D34" w:rsidRPr="000B398B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CA2FD1">
              <w:t xml:space="preserve">(но не более </w:t>
            </w:r>
            <w:r w:rsidRPr="00CA2FD1">
              <w:rPr>
                <w:lang w:val="ru-RU"/>
              </w:rPr>
              <w:t>3</w:t>
            </w:r>
            <w:r w:rsidRPr="00CA2FD1">
              <w:t xml:space="preserve"> баллов)</w:t>
            </w:r>
          </w:p>
        </w:tc>
      </w:tr>
      <w:tr w:rsidR="004B7D34" w:rsidRPr="000B398B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ind w:right="-73"/>
              <w:contextualSpacing/>
              <w:jc w:val="both"/>
            </w:pPr>
            <w:r w:rsidRPr="000B398B">
              <w:t>Выступление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4B7D34" w:rsidRPr="00B50197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lang w:val="ru-RU" w:eastAsia="en-US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CA2FD1">
              <w:rPr>
                <w:lang w:val="ru-RU"/>
              </w:rPr>
              <w:t>(не более 3 баллов)</w:t>
            </w:r>
          </w:p>
        </w:tc>
      </w:tr>
      <w:tr w:rsidR="004B7D34" w:rsidRPr="00B50197" w:rsidTr="004B7D34">
        <w:trPr>
          <w:gridAfter w:val="1"/>
          <w:wAfter w:w="24" w:type="dxa"/>
          <w:trHeight w:val="2298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4B7D34" w:rsidRPr="00B50197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4B7D34" w:rsidRPr="000B398B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4B7D34" w:rsidRPr="00B50197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4B7D34" w:rsidRPr="000B398B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CA2FD1" w:rsidRDefault="004B7D34" w:rsidP="004B7D34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D1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lastRenderedPageBreak/>
              <w:t>Приказ об утверждении команды проекта.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Не участвует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4B7D34" w:rsidRPr="00B50197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8F5358">
            <w:pPr>
              <w:jc w:val="both"/>
              <w:rPr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4B7D34" w:rsidRPr="00B50197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CA2FD1" w:rsidRDefault="004B7D34" w:rsidP="004B7D34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D1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тьютора.</w:t>
            </w:r>
            <w:r w:rsidR="00CA2FD1" w:rsidRPr="00CA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D1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конкурсов, экспертных групп. Руководство первичной профсоюзной организацией.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Приказ. </w:t>
            </w:r>
          </w:p>
          <w:p w:rsidR="004B7D34" w:rsidRPr="000B398B" w:rsidRDefault="004B7D34" w:rsidP="004B7D34">
            <w:pPr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 участвует</w:t>
            </w: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первичной профсоюзной организацией.</w:t>
            </w: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жюри  на уровне ДОО </w:t>
            </w: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4B7D34" w:rsidRPr="00B50197" w:rsidTr="004B7D34">
        <w:trPr>
          <w:gridAfter w:val="1"/>
          <w:wAfter w:w="24" w:type="dxa"/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4" w:rsidRPr="000B398B" w:rsidRDefault="004B7D34" w:rsidP="004B7D34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8F5358" w:rsidRDefault="004B7D34" w:rsidP="008F5358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>При неоднократном участии  (на уровне не ни же муниципального) + 1 балл дополнительно</w:t>
            </w:r>
            <w:r w:rsidR="008F5358">
              <w:rPr>
                <w:lang w:val="ru-RU"/>
              </w:rPr>
              <w:t xml:space="preserve"> </w:t>
            </w:r>
            <w:r w:rsidRPr="008F5358">
              <w:rPr>
                <w:lang w:val="ru-RU"/>
              </w:rPr>
              <w:t xml:space="preserve">(но не более </w:t>
            </w:r>
            <w:r w:rsidRPr="00CA2FD1">
              <w:rPr>
                <w:lang w:val="ru-RU"/>
              </w:rPr>
              <w:t>5</w:t>
            </w:r>
            <w:r w:rsidRPr="008F5358">
              <w:rPr>
                <w:lang w:val="ru-RU"/>
              </w:rPr>
              <w:t xml:space="preserve"> баллов).</w:t>
            </w:r>
          </w:p>
        </w:tc>
      </w:tr>
      <w:tr w:rsidR="004B7D34" w:rsidRPr="00B50197" w:rsidTr="004B7D34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4B7D34" w:rsidRPr="00B50197" w:rsidTr="004B7D34">
        <w:trPr>
          <w:gridAfter w:val="1"/>
          <w:wAfter w:w="24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</w:t>
            </w:r>
            <w:r w:rsidRPr="00CA2FD1">
              <w:rPr>
                <w:sz w:val="24"/>
                <w:szCs w:val="24"/>
                <w:lang w:val="ru-RU"/>
              </w:rPr>
              <w:t>работе методического объединения в межаттестационный период</w:t>
            </w:r>
            <w:r w:rsidRPr="000B398B">
              <w:rPr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r w:rsidRPr="000B398B">
              <w:t>Не участвует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lang w:val="ru-RU"/>
              </w:rPr>
            </w:pPr>
          </w:p>
        </w:tc>
      </w:tr>
      <w:tr w:rsidR="004B7D34" w:rsidRPr="000B398B" w:rsidTr="004B7D34">
        <w:trPr>
          <w:gridAfter w:val="1"/>
          <w:wAfter w:w="24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r w:rsidRPr="000B398B">
              <w:t>Титульный лист, рецензия.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r w:rsidRPr="000B398B">
              <w:t>Не участвует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ind w:right="-74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</w:t>
            </w:r>
            <w:r w:rsidRPr="000B398B">
              <w:lastRenderedPageBreak/>
              <w:t>о НМИЦ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r w:rsidRPr="000B398B">
              <w:rPr>
                <w:lang w:val="ru-RU"/>
              </w:rPr>
              <w:lastRenderedPageBreak/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lastRenderedPageBreak/>
              <w:t>«БелИРО»</w:t>
            </w:r>
          </w:p>
        </w:tc>
      </w:tr>
      <w:tr w:rsidR="004B7D34" w:rsidRPr="00B50197" w:rsidTr="004B7D34">
        <w:trPr>
          <w:gridAfter w:val="1"/>
          <w:wAfter w:w="24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методических материалов (видео-консультаций, занятий, мастер-классов и др.)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</w:pPr>
            <w:r w:rsidRPr="000B398B">
              <w:t>Отсутствуют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4B7D34" w:rsidRPr="00B50197" w:rsidTr="004B7D34">
        <w:trPr>
          <w:gridAfter w:val="1"/>
          <w:wAfter w:w="24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органов, осуществляющих управление в сфере образования,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ind w:right="-86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 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конкурсов (этапов )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конкурсов (этапов) профессиональных конкурсов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 всероссийских конкурсов (этапов), в том числе  конкурсного отбора лучших учителей </w:t>
            </w:r>
          </w:p>
        </w:tc>
      </w:tr>
      <w:tr w:rsidR="004B7D34" w:rsidRPr="00B50197" w:rsidTr="004B7D34">
        <w:trPr>
          <w:gridAfter w:val="1"/>
          <w:wAfter w:w="24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10"/>
              </w:numPr>
              <w:ind w:left="644"/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тьютора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4B7D34" w:rsidRPr="000B398B" w:rsidRDefault="004B7D34" w:rsidP="004B7D34">
      <w:pPr>
        <w:jc w:val="center"/>
        <w:rPr>
          <w:b/>
          <w:lang w:val="ru-RU"/>
        </w:rPr>
      </w:pPr>
    </w:p>
    <w:p w:rsidR="004B7D34" w:rsidRPr="000B398B" w:rsidRDefault="004B7D34" w:rsidP="004B7D34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4B7D34" w:rsidRPr="000B398B" w:rsidRDefault="004B7D34" w:rsidP="004B7D34">
      <w:pPr>
        <w:jc w:val="center"/>
        <w:rPr>
          <w:lang w:val="ru-RU"/>
        </w:rPr>
      </w:pPr>
      <w:r w:rsidRPr="000B398B">
        <w:rPr>
          <w:lang w:val="ru-RU"/>
        </w:rPr>
        <w:t>- 50 баллов и более – уровень высшей квалификационной категории;</w:t>
      </w:r>
      <w:r w:rsidRPr="000B398B">
        <w:rPr>
          <w:lang w:val="ru-RU"/>
        </w:rPr>
        <w:br/>
        <w:t>- от  40  до 49 баллов - уровень первой квалификационной категории;</w:t>
      </w:r>
      <w:r w:rsidRPr="000B398B">
        <w:rPr>
          <w:lang w:val="ru-RU"/>
        </w:rPr>
        <w:br/>
        <w:t>- ниже 40 баллов – уровень, недостаточный для аттестации на квалификационную категорию.</w:t>
      </w:r>
    </w:p>
    <w:sectPr w:rsidR="004B7D34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18" w:rsidRDefault="00EE2A18" w:rsidP="00CA1722">
      <w:r>
        <w:separator/>
      </w:r>
    </w:p>
  </w:endnote>
  <w:endnote w:type="continuationSeparator" w:id="1">
    <w:p w:rsidR="00EE2A18" w:rsidRDefault="00EE2A18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18" w:rsidRDefault="00EE2A18" w:rsidP="00CA1722">
      <w:r>
        <w:separator/>
      </w:r>
    </w:p>
  </w:footnote>
  <w:footnote w:type="continuationSeparator" w:id="1">
    <w:p w:rsidR="00EE2A18" w:rsidRDefault="00EE2A18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0A1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197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2A18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2021-07-19T14:32:00Z</dcterms:created>
  <dcterms:modified xsi:type="dcterms:W3CDTF">2021-07-19T14:32:00Z</dcterms:modified>
</cp:coreProperties>
</file>