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42" w:rsidRPr="000B398B" w:rsidRDefault="00627242">
      <w:pPr>
        <w:rPr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8E0A6B" w:rsidRPr="000B398B" w:rsidTr="008E0A6B">
        <w:trPr>
          <w:trHeight w:val="1418"/>
        </w:trPr>
        <w:tc>
          <w:tcPr>
            <w:tcW w:w="2012" w:type="pct"/>
          </w:tcPr>
          <w:p w:rsidR="008E0A6B" w:rsidRPr="000B398B" w:rsidRDefault="008E0A6B" w:rsidP="008E0A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8E0A6B" w:rsidRPr="000B398B" w:rsidRDefault="008E0A6B" w:rsidP="008E0A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8E0A6B" w:rsidRPr="000B398B" w:rsidRDefault="008E0A6B" w:rsidP="008E0A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8E0A6B" w:rsidRPr="000B398B" w:rsidRDefault="008E0A6B" w:rsidP="008E0A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8E0A6B" w:rsidRPr="000B398B" w:rsidRDefault="008E0A6B" w:rsidP="008E0A6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03794C" w:rsidRPr="000B398B" w:rsidRDefault="0003794C" w:rsidP="00B25116">
      <w:pPr>
        <w:jc w:val="center"/>
        <w:rPr>
          <w:lang w:val="ru-RU"/>
        </w:rPr>
      </w:pPr>
    </w:p>
    <w:p w:rsidR="008E0A6B" w:rsidRPr="000B398B" w:rsidRDefault="008E0A6B" w:rsidP="008E0A6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8E0A6B" w:rsidRPr="000B398B" w:rsidRDefault="008E0A6B" w:rsidP="008E0A6B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профессиональных образовательных учреждений, подведомственных департаменту образования</w:t>
      </w:r>
      <w:r w:rsidR="002D2D1B" w:rsidRPr="000B398B">
        <w:rPr>
          <w:b/>
          <w:sz w:val="24"/>
          <w:szCs w:val="24"/>
          <w:lang w:val="ru-RU"/>
        </w:rPr>
        <w:t xml:space="preserve"> </w:t>
      </w:r>
      <w:r w:rsidRPr="000B398B">
        <w:rPr>
          <w:b/>
          <w:sz w:val="24"/>
          <w:szCs w:val="24"/>
          <w:lang w:val="ru-RU"/>
        </w:rPr>
        <w:t xml:space="preserve">Белгородской области по должности «воспитатель» </w:t>
      </w:r>
    </w:p>
    <w:p w:rsidR="008E0A6B" w:rsidRPr="000B398B" w:rsidRDefault="008E0A6B" w:rsidP="008E0A6B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8"/>
        <w:gridCol w:w="3828"/>
        <w:gridCol w:w="1853"/>
        <w:gridCol w:w="1703"/>
        <w:gridCol w:w="1841"/>
        <w:gridCol w:w="9"/>
        <w:gridCol w:w="25"/>
        <w:gridCol w:w="7"/>
        <w:gridCol w:w="1660"/>
        <w:gridCol w:w="11"/>
        <w:gridCol w:w="272"/>
        <w:gridCol w:w="9"/>
        <w:gridCol w:w="1409"/>
        <w:gridCol w:w="152"/>
        <w:gridCol w:w="273"/>
        <w:gridCol w:w="1276"/>
        <w:gridCol w:w="18"/>
      </w:tblGrid>
      <w:tr w:rsidR="008E0A6B" w:rsidRPr="005F6A85" w:rsidTr="008E0A6B">
        <w:trPr>
          <w:gridAfter w:val="1"/>
          <w:wAfter w:w="18" w:type="dxa"/>
          <w:trHeight w:val="370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8E0A6B" w:rsidRPr="000B398B" w:rsidTr="008E0A6B">
        <w:trPr>
          <w:gridAfter w:val="1"/>
          <w:wAfter w:w="18" w:type="dxa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B" w:rsidRPr="000B398B" w:rsidRDefault="008E0A6B" w:rsidP="008E0A6B">
            <w:pPr>
              <w:rPr>
                <w:b/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B" w:rsidRPr="000B398B" w:rsidRDefault="008E0A6B" w:rsidP="008E0A6B">
            <w:pPr>
              <w:rPr>
                <w:b/>
                <w:lang w:val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B" w:rsidRPr="000B398B" w:rsidRDefault="008E0A6B" w:rsidP="008E0A6B">
            <w:pPr>
              <w:rPr>
                <w:b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8E0A6B" w:rsidRPr="005F6A85" w:rsidTr="008E0A6B"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97C8C">
              <w:rPr>
                <w:b/>
                <w:i/>
                <w:lang w:val="ru-RU"/>
              </w:rPr>
              <w:t>(</w:t>
            </w:r>
            <w:r w:rsidRPr="00097C8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="00097C8C">
              <w:rPr>
                <w:rStyle w:val="FontStyle38"/>
                <w:b/>
                <w:i/>
                <w:lang w:val="ru-RU"/>
              </w:rPr>
              <w:t xml:space="preserve"> 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8E0A6B" w:rsidRPr="005F6A85" w:rsidTr="004666DA">
        <w:trPr>
          <w:gridAfter w:val="1"/>
          <w:wAfter w:w="18" w:type="dxa"/>
          <w:trHeight w:val="159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Организация занятости обучающихся, проживающих в общежитии, во внеурочное время за межаттестационный период (реализация дополнительных образовательных  программ)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r w:rsidRPr="000B398B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Охват обучающихся секциями, кружками  менее 50%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contextualSpacing/>
            </w:pPr>
            <w:r w:rsidRPr="000B398B">
              <w:t xml:space="preserve">Охват обучающихся секциями, кружками </w:t>
            </w:r>
          </w:p>
          <w:p w:rsidR="008E0A6B" w:rsidRPr="000B398B" w:rsidRDefault="008E0A6B" w:rsidP="008E0A6B">
            <w:pPr>
              <w:contextualSpacing/>
            </w:pPr>
            <w:r w:rsidRPr="000B398B">
              <w:t xml:space="preserve"> 50 - 59%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both"/>
            </w:pPr>
            <w:r w:rsidRPr="000B398B">
              <w:t xml:space="preserve">Охват обучающихся секциями, кружками </w:t>
            </w:r>
          </w:p>
          <w:p w:rsidR="008E0A6B" w:rsidRPr="000B398B" w:rsidRDefault="008E0A6B" w:rsidP="008E0A6B">
            <w:pPr>
              <w:jc w:val="both"/>
            </w:pPr>
            <w:r w:rsidRPr="000B398B">
              <w:t>60-69%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r w:rsidRPr="000B398B">
              <w:t xml:space="preserve">Охват обучающихся секциями, кружками </w:t>
            </w:r>
          </w:p>
          <w:p w:rsidR="008E0A6B" w:rsidRPr="000B398B" w:rsidRDefault="008E0A6B" w:rsidP="008E0A6B">
            <w:r w:rsidRPr="000B398B">
              <w:t>70 - 79%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Охват обучающихся секциями, кружками </w:t>
            </w:r>
          </w:p>
          <w:p w:rsidR="008E0A6B" w:rsidRPr="000B398B" w:rsidRDefault="008E0A6B" w:rsidP="008E0A6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80 % и более</w:t>
            </w:r>
          </w:p>
        </w:tc>
      </w:tr>
      <w:tr w:rsidR="008E0A6B" w:rsidRPr="000B398B" w:rsidTr="008E0A6B">
        <w:trPr>
          <w:gridAfter w:val="1"/>
          <w:wAfter w:w="18" w:type="dxa"/>
          <w:trHeight w:val="13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both"/>
            </w:pPr>
            <w:r w:rsidRPr="000B398B">
              <w:t>Отсутствие фактов бытового травматизма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jc w:val="both"/>
            </w:pPr>
            <w:r w:rsidRPr="000B398B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shd w:val="clear" w:color="auto" w:fill="FFFFFF"/>
              <w:jc w:val="center"/>
            </w:pPr>
            <w:r w:rsidRPr="000B398B">
              <w:t>имеются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shd w:val="clear" w:color="auto" w:fill="FFFFFF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shd w:val="clear" w:color="auto" w:fill="FFFFFF"/>
            </w:pPr>
            <w:r w:rsidRPr="000B398B">
              <w:t>не имеются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shd w:val="clear" w:color="auto" w:fill="FFFFFF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shd w:val="clear" w:color="auto" w:fill="FFFFFF"/>
              <w:jc w:val="center"/>
            </w:pPr>
          </w:p>
        </w:tc>
      </w:tr>
      <w:tr w:rsidR="008E0A6B" w:rsidRPr="005F6A85" w:rsidTr="008E0A6B">
        <w:trPr>
          <w:trHeight w:val="868"/>
        </w:trPr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shd w:val="clear" w:color="auto" w:fill="FFFFFF"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8E0A6B" w:rsidRPr="005F6A85" w:rsidTr="008E0A6B"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8E0A6B" w:rsidRPr="000B398B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8E0A6B" w:rsidRPr="005F6A85" w:rsidTr="008E0A6B">
        <w:trPr>
          <w:gridAfter w:val="1"/>
          <w:wAfter w:w="18" w:type="dxa"/>
          <w:trHeight w:val="1239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97C8C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обучающихся под руководством воспитателя в мероприятиях различных уровней внеурочной деятельности: </w:t>
            </w: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- конкурсы; </w:t>
            </w: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конференции;</w:t>
            </w: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концерты;</w:t>
            </w: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выставки;</w:t>
            </w: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- соревнования.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организации, грамоты, дипломы или документы, подтверждающие результат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r w:rsidRPr="000B398B">
              <w:t>не участвуют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мероприятиях ПОО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Победы или призовые места во всероссийских и международных мероприятиях (без учета  интернет-мероприятий)</w:t>
            </w:r>
          </w:p>
        </w:tc>
      </w:tr>
      <w:tr w:rsidR="008E0A6B" w:rsidRPr="000B398B" w:rsidTr="008E0A6B">
        <w:trPr>
          <w:gridAfter w:val="1"/>
          <w:wAfter w:w="18" w:type="dxa"/>
          <w:trHeight w:val="51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108"/>
              <w:rPr>
                <w:lang w:val="ru-RU"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более 1 призового места в региональных, всероссийских и международных мероприятиях+1 балл  дополнительно за каждую </w:t>
            </w:r>
            <w:r w:rsidRPr="000B398B">
              <w:t>(но не более 3 баллов) (без учета  интернет-мероприятий)</w:t>
            </w:r>
          </w:p>
        </w:tc>
      </w:tr>
      <w:tr w:rsidR="008E0A6B" w:rsidRPr="000B398B" w:rsidTr="008E0A6B">
        <w:trPr>
          <w:gridAfter w:val="1"/>
          <w:wAfter w:w="18" w:type="dxa"/>
          <w:trHeight w:val="102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Динамика правонарушений и нарушений общественного порядка обучающимися за межаттестационный период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  <w:r w:rsidRPr="000B398B">
              <w:t>Справка руководителя организации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097C8C">
            <w:pPr>
              <w:shd w:val="clear" w:color="auto" w:fill="FFFFFF"/>
              <w:jc w:val="both"/>
            </w:pPr>
            <w:r w:rsidRPr="000B398B">
              <w:t>рост нарушений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6B" w:rsidRPr="000B398B" w:rsidRDefault="008E0A6B" w:rsidP="00097C8C">
            <w:pPr>
              <w:shd w:val="clear" w:color="auto" w:fill="FFFFFF"/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097C8C">
            <w:pPr>
              <w:shd w:val="clear" w:color="auto" w:fill="FFFFFF"/>
              <w:jc w:val="both"/>
            </w:pPr>
            <w:r w:rsidRPr="000B398B">
              <w:t>стабильное состояние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097C8C">
            <w:pPr>
              <w:shd w:val="clear" w:color="auto" w:fill="FFFFFF"/>
              <w:jc w:val="both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097C8C">
            <w:pPr>
              <w:shd w:val="clear" w:color="auto" w:fill="FFFFFF"/>
              <w:jc w:val="both"/>
            </w:pPr>
            <w:r w:rsidRPr="000B398B">
              <w:t>снижение нарушений</w:t>
            </w:r>
          </w:p>
        </w:tc>
      </w:tr>
      <w:tr w:rsidR="008E0A6B" w:rsidRPr="005F6A85" w:rsidTr="008E0A6B"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8E0A6B" w:rsidRPr="000B398B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8E0A6B" w:rsidRPr="005F6A85" w:rsidTr="008E0A6B">
        <w:trPr>
          <w:gridAfter w:val="1"/>
          <w:wAfter w:w="18" w:type="dxa"/>
          <w:trHeight w:val="11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Взаимодействие с кураторами групп и родителями:</w:t>
            </w:r>
          </w:p>
          <w:p w:rsidR="008E0A6B" w:rsidRPr="00134A26" w:rsidRDefault="008E0A6B" w:rsidP="008E0A6B">
            <w:pPr>
              <w:pStyle w:val="afa"/>
              <w:spacing w:after="0"/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134A26">
              <w:rPr>
                <w:rFonts w:ascii="Times New Roman" w:eastAsiaTheme="minorEastAsia" w:hAnsi="Times New Roman" w:cs="Times New Roman"/>
                <w:sz w:val="24"/>
              </w:rPr>
              <w:t>-своевременное информирование;</w:t>
            </w:r>
          </w:p>
          <w:p w:rsidR="008E0A6B" w:rsidRPr="00134A26" w:rsidRDefault="008E0A6B" w:rsidP="008E0A6B">
            <w:pPr>
              <w:pStyle w:val="afa"/>
              <w:spacing w:after="0"/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134A26">
              <w:rPr>
                <w:rFonts w:ascii="Times New Roman" w:eastAsiaTheme="minorEastAsia" w:hAnsi="Times New Roman" w:cs="Times New Roman"/>
                <w:sz w:val="24"/>
              </w:rPr>
              <w:t>-организация самоподготовки;</w:t>
            </w:r>
          </w:p>
          <w:p w:rsidR="008E0A6B" w:rsidRPr="000B398B" w:rsidRDefault="008E0A6B" w:rsidP="008E0A6B">
            <w:pPr>
              <w:pStyle w:val="afa"/>
              <w:spacing w:after="0"/>
              <w:ind w:left="0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134A26">
              <w:rPr>
                <w:rFonts w:ascii="Times New Roman" w:eastAsiaTheme="minorEastAsia" w:hAnsi="Times New Roman" w:cs="Times New Roman"/>
                <w:sz w:val="24"/>
              </w:rPr>
              <w:t>-совместное ведение дневников педагогических наблюдений.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left="5"/>
              <w:jc w:val="both"/>
            </w:pPr>
            <w:r w:rsidRPr="000B398B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  <w:r w:rsidRPr="000B398B">
              <w:t xml:space="preserve">отсутствует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Эпизодическое взаимодействие по всем направлениям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tabs>
                <w:tab w:val="left" w:pos="1735"/>
              </w:tabs>
              <w:ind w:right="45"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Постоянное взаимодействие по 1 направлению, эпизодическое взаимодействие по 2 направления</w:t>
            </w:r>
            <w:r w:rsidRPr="000B398B">
              <w:rPr>
                <w:lang w:val="ru-RU"/>
              </w:rPr>
              <w:lastRenderedPageBreak/>
              <w:t>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56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Постоянное взаимодействие по 2 направлениям, эпизодическое взаимодействие по 1 направлению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Постоянное взаимодействие по всем направлениям</w:t>
            </w:r>
          </w:p>
        </w:tc>
      </w:tr>
      <w:tr w:rsidR="008E0A6B" w:rsidRPr="000B398B" w:rsidTr="008E0A6B">
        <w:trPr>
          <w:gridAfter w:val="1"/>
          <w:wAfter w:w="18" w:type="dxa"/>
          <w:trHeight w:val="1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Организация работы органа самоуправления в общежитии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  <w:r w:rsidRPr="000B398B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  <w:r w:rsidRPr="000B398B"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  <w:r w:rsidRPr="000B398B">
              <w:t>организована частично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  <w:r w:rsidRPr="000B398B">
              <w:t>работа ведется в системе</w:t>
            </w:r>
          </w:p>
        </w:tc>
      </w:tr>
      <w:tr w:rsidR="008E0A6B" w:rsidRPr="005F6A85" w:rsidTr="008E0A6B">
        <w:trPr>
          <w:gridAfter w:val="1"/>
          <w:wAfter w:w="18" w:type="dxa"/>
          <w:trHeight w:val="137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Титульный лист, лист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  <w:r w:rsidRPr="000B398B">
              <w:t xml:space="preserve">отсутствуют 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  <w:r w:rsidRPr="000B398B">
              <w:t>на уровне ПОО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всероссийском уровне</w:t>
            </w:r>
          </w:p>
        </w:tc>
      </w:tr>
      <w:tr w:rsidR="008E0A6B" w:rsidRPr="000B398B" w:rsidTr="008E0A6B">
        <w:trPr>
          <w:gridAfter w:val="1"/>
          <w:wAfter w:w="18" w:type="dxa"/>
          <w:trHeight w:val="1650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50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</w:pPr>
            <w:r w:rsidRPr="000B398B">
              <w:rPr>
                <w:lang w:val="ru-RU"/>
              </w:rPr>
              <w:t xml:space="preserve">При наличии двух и более публикаций +1 балл за каждую </w:t>
            </w:r>
            <w:r w:rsidRPr="000B398B">
              <w:t>(но не более 3 баллов)</w:t>
            </w:r>
          </w:p>
        </w:tc>
      </w:tr>
      <w:tr w:rsidR="008E0A6B" w:rsidRPr="005F6A85" w:rsidTr="008E0A6B">
        <w:trPr>
          <w:gridAfter w:val="1"/>
          <w:wAfter w:w="18" w:type="dxa"/>
          <w:trHeight w:val="1518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методического совета на уровне ОО.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и размещен на региональном уровне</w:t>
            </w:r>
          </w:p>
        </w:tc>
      </w:tr>
      <w:tr w:rsidR="008E0A6B" w:rsidRPr="005F6A85" w:rsidTr="008E0A6B">
        <w:trPr>
          <w:gridAfter w:val="1"/>
          <w:wAfter w:w="18" w:type="dxa"/>
          <w:trHeight w:val="1518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rPr>
                <w:lang w:val="ru-RU"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rPr>
                <w:lang w:val="ru-RU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rPr>
                <w:lang w:val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(но не более 3-х баллов)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+2 балла за каждый АПО (но не более 4-х баллов)</w:t>
            </w:r>
          </w:p>
        </w:tc>
      </w:tr>
      <w:tr w:rsidR="004666DA" w:rsidRPr="000B398B" w:rsidTr="008E0A6B">
        <w:trPr>
          <w:gridAfter w:val="1"/>
          <w:wAfter w:w="18" w:type="dxa"/>
          <w:trHeight w:val="105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ind w:right="-73"/>
              <w:contextualSpacing/>
              <w:jc w:val="both"/>
            </w:pPr>
            <w:r w:rsidRPr="000B398B">
              <w:t>Выступление на уровне ПОО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ind w:right="-73"/>
              <w:contextualSpacing/>
              <w:jc w:val="both"/>
            </w:pPr>
            <w:r w:rsidRPr="000B398B">
              <w:t>Выступление на муниципальном, уровне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4666DA" w:rsidRPr="005F6A85" w:rsidTr="00940D1F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996A3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contextualSpacing/>
              <w:jc w:val="both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contextualSpacing/>
              <w:jc w:val="both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contextualSpacing/>
              <w:jc w:val="both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ind w:right="-73"/>
              <w:contextualSpacing/>
              <w:jc w:val="both"/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A" w:rsidRPr="000B398B" w:rsidRDefault="004666DA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097C8C">
              <w:rPr>
                <w:lang w:val="ru-RU"/>
              </w:rPr>
              <w:t>(не более 3 баллов)</w:t>
            </w:r>
          </w:p>
        </w:tc>
      </w:tr>
      <w:tr w:rsidR="008E0A6B" w:rsidRPr="005F6A85" w:rsidTr="008E0A6B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8E0A6B" w:rsidRPr="005F6A85" w:rsidTr="008E0A6B">
        <w:trPr>
          <w:gridAfter w:val="1"/>
          <w:wAfter w:w="18" w:type="dxa"/>
          <w:trHeight w:val="513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8E0A6B" w:rsidRPr="000B398B" w:rsidTr="008E0A6B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8E0A6B" w:rsidRPr="005F6A85" w:rsidTr="008E0A6B">
        <w:trPr>
          <w:gridAfter w:val="1"/>
          <w:wAfter w:w="18" w:type="dxa"/>
          <w:trHeight w:val="567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8E0A6B" w:rsidRPr="000B398B" w:rsidRDefault="008E0A6B" w:rsidP="008E0A6B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8E0A6B" w:rsidRPr="000B398B" w:rsidTr="008E0A6B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97C8C" w:rsidRDefault="008E0A6B" w:rsidP="008E0A6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8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8E0A6B" w:rsidRPr="005F6A85" w:rsidTr="008E0A6B">
        <w:trPr>
          <w:gridAfter w:val="1"/>
          <w:wAfter w:w="18" w:type="dxa"/>
          <w:trHeight w:val="466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97C8C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8E0A6B" w:rsidRPr="000B398B" w:rsidRDefault="008E0A6B" w:rsidP="008E0A6B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8E0A6B" w:rsidRPr="005F6A85" w:rsidTr="008E0A6B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97C8C" w:rsidRDefault="008E0A6B" w:rsidP="008E0A6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8C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097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C8C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Приказ, протокол заседания профкома.</w:t>
            </w: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  <w:p w:rsidR="008E0A6B" w:rsidRPr="000B398B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Не участвует</w:t>
            </w:r>
          </w:p>
          <w:p w:rsidR="008E0A6B" w:rsidRPr="000B398B" w:rsidRDefault="008E0A6B" w:rsidP="008E0A6B">
            <w:pPr>
              <w:contextualSpacing/>
              <w:jc w:val="both"/>
            </w:pPr>
          </w:p>
          <w:p w:rsidR="008E0A6B" w:rsidRPr="000B398B" w:rsidRDefault="008E0A6B" w:rsidP="008E0A6B">
            <w:pPr>
              <w:contextualSpacing/>
              <w:jc w:val="both"/>
            </w:pPr>
          </w:p>
          <w:p w:rsidR="008E0A6B" w:rsidRPr="000B398B" w:rsidRDefault="008E0A6B" w:rsidP="008E0A6B">
            <w:pPr>
              <w:contextualSpacing/>
              <w:jc w:val="both"/>
            </w:pPr>
          </w:p>
          <w:p w:rsidR="008E0A6B" w:rsidRPr="000B398B" w:rsidRDefault="008E0A6B" w:rsidP="008E0A6B">
            <w:pPr>
              <w:contextualSpacing/>
              <w:jc w:val="both"/>
            </w:pPr>
          </w:p>
          <w:p w:rsidR="008E0A6B" w:rsidRPr="000B398B" w:rsidRDefault="008E0A6B" w:rsidP="008E0A6B">
            <w:pPr>
              <w:contextualSpacing/>
              <w:jc w:val="both"/>
            </w:pPr>
          </w:p>
          <w:p w:rsidR="008E0A6B" w:rsidRPr="000B398B" w:rsidRDefault="008E0A6B" w:rsidP="008E0A6B">
            <w:pPr>
              <w:contextualSpacing/>
              <w:jc w:val="both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школы, ШМО.</w:t>
            </w:r>
          </w:p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уровне ОО</w:t>
            </w:r>
          </w:p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педагогами, руководство практикой студентов.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 xml:space="preserve">Участие на  муниципальном уровне.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8E0A6B" w:rsidRPr="005F6A85" w:rsidTr="008E0A6B">
        <w:trPr>
          <w:gridAfter w:val="1"/>
          <w:wAfter w:w="18" w:type="dxa"/>
          <w:trHeight w:val="609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 (но не более 5 баллов )</w:t>
            </w:r>
          </w:p>
        </w:tc>
      </w:tr>
      <w:tr w:rsidR="008E0A6B" w:rsidRPr="005F6A85" w:rsidTr="008E0A6B"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0B398B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8E0A6B" w:rsidRPr="005F6A85" w:rsidTr="008E0A6B">
        <w:trPr>
          <w:gridAfter w:val="1"/>
          <w:wAfter w:w="18" w:type="dxa"/>
          <w:trHeight w:val="15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097C8C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r w:rsidRPr="000B398B">
              <w:t>Не участвует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</w:tr>
      <w:tr w:rsidR="008E0A6B" w:rsidRPr="005F6A85" w:rsidTr="008E0A6B">
        <w:trPr>
          <w:gridAfter w:val="1"/>
          <w:wAfter w:w="18" w:type="dxa"/>
          <w:trHeight w:val="15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Наличие, состояние и эффективное использование документации по организации воспитательной работы в общежитии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</w:pPr>
            <w:r w:rsidRPr="000B398B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</w:pPr>
            <w:r w:rsidRPr="000B398B">
              <w:t>частично отсутствует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45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ведется в соответствии с требованиями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45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ведётся на высоком содержательном и оформительском уровне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</w:tr>
      <w:tr w:rsidR="008E0A6B" w:rsidRPr="000B398B" w:rsidTr="008E0A6B">
        <w:trPr>
          <w:gridAfter w:val="1"/>
          <w:wAfter w:w="18" w:type="dxa"/>
          <w:trHeight w:val="23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</w:pPr>
            <w:r w:rsidRPr="000B398B">
              <w:t>Выполнение требований СанПиН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</w:pPr>
            <w:r w:rsidRPr="000B398B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</w:pPr>
            <w:r w:rsidRPr="000B398B">
              <w:t>не соответствуют</w:t>
            </w:r>
          </w:p>
          <w:p w:rsidR="008E0A6B" w:rsidRPr="000B398B" w:rsidRDefault="008E0A6B" w:rsidP="008E0A6B">
            <w:pPr>
              <w:ind w:right="-73"/>
              <w:contextualSpacing/>
              <w:jc w:val="both"/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</w:pPr>
            <w:r w:rsidRPr="000B398B">
              <w:t>соответствуют с замечаниями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45"/>
              <w:contextualSpacing/>
            </w:pPr>
            <w:r w:rsidRPr="000B398B">
              <w:t>в основном соответствуют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45"/>
              <w:contextualSpacing/>
            </w:pPr>
            <w:r w:rsidRPr="000B398B">
              <w:t>соответствуют в полном объеме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ind w:right="-73"/>
              <w:contextualSpacing/>
              <w:jc w:val="both"/>
            </w:pPr>
          </w:p>
        </w:tc>
      </w:tr>
      <w:tr w:rsidR="008E0A6B" w:rsidRPr="000B398B" w:rsidTr="008E0A6B">
        <w:trPr>
          <w:gridAfter w:val="1"/>
          <w:wAfter w:w="18" w:type="dxa"/>
          <w:trHeight w:val="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shd w:val="clear" w:color="auto" w:fill="FFFFFF"/>
              <w:ind w:hanging="5"/>
              <w:rPr>
                <w:lang w:val="ru-RU"/>
              </w:rPr>
            </w:pPr>
            <w:r w:rsidRPr="000B398B">
              <w:rPr>
                <w:lang w:val="ru-RU"/>
              </w:rPr>
              <w:t>Наличие учебно-методических материалов, имеющих внешнюю рецензию:</w:t>
            </w:r>
          </w:p>
          <w:p w:rsidR="008E0A6B" w:rsidRPr="000B398B" w:rsidRDefault="008E0A6B" w:rsidP="008E0A6B">
            <w:pPr>
              <w:shd w:val="clear" w:color="auto" w:fill="FFFFFF"/>
              <w:ind w:hanging="5"/>
              <w:rPr>
                <w:lang w:val="ru-RU"/>
              </w:rPr>
            </w:pPr>
            <w:r w:rsidRPr="000B398B">
              <w:rPr>
                <w:lang w:val="ru-RU"/>
              </w:rPr>
              <w:t>- методические разработки (занятий, внеурочных мероприятий);</w:t>
            </w:r>
          </w:p>
          <w:p w:rsidR="008E0A6B" w:rsidRPr="000B398B" w:rsidRDefault="008E0A6B" w:rsidP="008E0A6B">
            <w:pPr>
              <w:shd w:val="clear" w:color="auto" w:fill="FFFFFF"/>
              <w:ind w:hanging="5"/>
              <w:rPr>
                <w:lang w:val="ru-RU"/>
              </w:rPr>
            </w:pPr>
            <w:r w:rsidRPr="000B398B">
              <w:rPr>
                <w:lang w:val="ru-RU"/>
              </w:rPr>
              <w:t xml:space="preserve">- печатные издания (методические </w:t>
            </w:r>
          </w:p>
          <w:p w:rsidR="008E0A6B" w:rsidRPr="000B398B" w:rsidRDefault="008E0A6B" w:rsidP="008E0A6B">
            <w:pPr>
              <w:shd w:val="clear" w:color="auto" w:fill="FFFFFF"/>
              <w:ind w:hanging="5"/>
              <w:rPr>
                <w:lang w:val="ru-RU"/>
              </w:rPr>
            </w:pPr>
            <w:r w:rsidRPr="000B398B">
              <w:rPr>
                <w:lang w:val="ru-RU"/>
              </w:rPr>
              <w:t>пособия,  рекомендации)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shd w:val="clear" w:color="auto" w:fill="FFFFFF"/>
              <w:ind w:hanging="5"/>
            </w:pPr>
            <w:r w:rsidRPr="000B398B">
              <w:t xml:space="preserve">Справка, рецензии, титульный лист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shd w:val="clear" w:color="auto" w:fill="FFFFFF"/>
              <w:ind w:hanging="5"/>
            </w:pPr>
            <w:r w:rsidRPr="000B398B">
              <w:t xml:space="preserve">Не участвует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shd w:val="clear" w:color="auto" w:fill="FFFFFF"/>
              <w:ind w:hanging="5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shd w:val="clear" w:color="auto" w:fill="FFFFFF"/>
              <w:ind w:hanging="5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shd w:val="clear" w:color="auto" w:fill="FFFFFF"/>
              <w:ind w:hanging="5"/>
              <w:rPr>
                <w:lang w:val="ru-RU"/>
              </w:rPr>
            </w:pPr>
            <w:r w:rsidRPr="000B398B">
              <w:rPr>
                <w:lang w:val="ru-RU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B" w:rsidRPr="000B398B" w:rsidRDefault="008E0A6B" w:rsidP="008E0A6B">
            <w:pPr>
              <w:shd w:val="clear" w:color="auto" w:fill="FFFFFF"/>
              <w:ind w:hanging="5"/>
            </w:pPr>
            <w:r w:rsidRPr="000B398B">
              <w:rPr>
                <w:lang w:val="ru-RU"/>
              </w:rPr>
              <w:t xml:space="preserve">Комплекс учебно-методических материалов имеет внешнюю </w:t>
            </w:r>
            <w:r w:rsidRPr="000B398B">
              <w:t xml:space="preserve">рецензию </w:t>
            </w:r>
          </w:p>
        </w:tc>
      </w:tr>
      <w:tr w:rsidR="008E0A6B" w:rsidRPr="005F6A85" w:rsidTr="008E0A6B">
        <w:trPr>
          <w:gridAfter w:val="1"/>
          <w:wAfter w:w="18" w:type="dxa"/>
          <w:trHeight w:val="212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Результативность участия в профессиональных конкурсах, в том числе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Приказы, грамоты, дипломы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уровня), очных конкурсах ПОО;  участие в очных конкурсах муниципального, регионального и всероссийского уровня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 муниципальных профессиональных конкурсов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8E0A6B" w:rsidRPr="005F6A85" w:rsidTr="008E0A6B">
        <w:trPr>
          <w:gridAfter w:val="1"/>
          <w:wAfter w:w="18" w:type="dxa"/>
          <w:trHeight w:val="1201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более 1 призового места в региональных, всероссийских, международных конкурсах +1 балл дополнительно  за каждое (но не более 3 баллов)</w:t>
            </w:r>
          </w:p>
        </w:tc>
      </w:tr>
      <w:tr w:rsidR="008E0A6B" w:rsidRPr="005F6A85" w:rsidTr="008E0A6B">
        <w:trPr>
          <w:gridAfter w:val="1"/>
          <w:wAfter w:w="18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996A3D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r w:rsidRPr="000B398B">
              <w:t>Отсутствуют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0B398B" w:rsidRDefault="008E0A6B" w:rsidP="008E0A6B">
            <w:pPr>
              <w:rPr>
                <w:lang w:val="ru-RU"/>
              </w:rPr>
            </w:pPr>
            <w:r w:rsidRPr="000B398B">
              <w:rPr>
                <w:lang w:val="ru-RU"/>
              </w:rPr>
              <w:t>Награды отраслевые, федеральных органов и организаций (независимо от срока)</w:t>
            </w:r>
          </w:p>
        </w:tc>
      </w:tr>
    </w:tbl>
    <w:p w:rsidR="008E0A6B" w:rsidRPr="000B398B" w:rsidRDefault="008E0A6B" w:rsidP="008E0A6B">
      <w:pPr>
        <w:rPr>
          <w:b/>
          <w:lang w:val="ru-RU"/>
        </w:rPr>
      </w:pPr>
    </w:p>
    <w:p w:rsidR="008E0A6B" w:rsidRPr="000B398B" w:rsidRDefault="008E0A6B" w:rsidP="008E0A6B">
      <w:pPr>
        <w:ind w:firstLine="426"/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8E0A6B" w:rsidRPr="000B398B" w:rsidRDefault="008E0A6B" w:rsidP="008E0A6B">
      <w:pPr>
        <w:jc w:val="center"/>
        <w:rPr>
          <w:lang w:val="ru-RU"/>
        </w:rPr>
      </w:pPr>
      <w:r w:rsidRPr="000B398B">
        <w:rPr>
          <w:lang w:val="ru-RU"/>
        </w:rPr>
        <w:t>- 45 баллов и более – уровень высшей квалификационной категории;</w:t>
      </w:r>
    </w:p>
    <w:p w:rsidR="008E0A6B" w:rsidRPr="000B398B" w:rsidRDefault="008E0A6B" w:rsidP="008E0A6B">
      <w:pPr>
        <w:jc w:val="center"/>
        <w:rPr>
          <w:lang w:val="ru-RU"/>
        </w:rPr>
      </w:pPr>
      <w:r w:rsidRPr="000B398B">
        <w:rPr>
          <w:lang w:val="ru-RU"/>
        </w:rPr>
        <w:t>- от 35 до 44 баллов– уровень первой квалификационной категории;</w:t>
      </w:r>
    </w:p>
    <w:p w:rsidR="008E0A6B" w:rsidRPr="000B398B" w:rsidRDefault="008E0A6B" w:rsidP="008E0A6B">
      <w:pPr>
        <w:jc w:val="center"/>
        <w:rPr>
          <w:lang w:val="ru-RU"/>
        </w:rPr>
      </w:pPr>
      <w:r w:rsidRPr="000B398B">
        <w:rPr>
          <w:lang w:val="ru-RU"/>
        </w:rPr>
        <w:t>- ниже 35 баллов – уровень, недостаточный для аттестации на квалификационную категорию.</w:t>
      </w:r>
    </w:p>
    <w:p w:rsidR="008E0A6B" w:rsidRPr="000B398B" w:rsidRDefault="008E0A6B">
      <w:pPr>
        <w:rPr>
          <w:lang w:val="ru-RU"/>
        </w:rPr>
      </w:pPr>
    </w:p>
    <w:p w:rsidR="00520F37" w:rsidRDefault="00520F37" w:rsidP="00F52F12">
      <w:pPr>
        <w:ind w:left="142" w:right="-144" w:firstLine="992"/>
        <w:jc w:val="center"/>
        <w:rPr>
          <w:lang w:val="ru-RU"/>
        </w:rPr>
      </w:pPr>
      <w:bookmarkStart w:id="0" w:name="_GoBack"/>
      <w:bookmarkEnd w:id="0"/>
    </w:p>
    <w:sectPr w:rsidR="00520F37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62" w:rsidRDefault="003F0962" w:rsidP="00CA1722">
      <w:r>
        <w:separator/>
      </w:r>
    </w:p>
  </w:endnote>
  <w:endnote w:type="continuationSeparator" w:id="1">
    <w:p w:rsidR="003F0962" w:rsidRDefault="003F0962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62" w:rsidRDefault="003F0962" w:rsidP="00CA1722">
      <w:r>
        <w:separator/>
      </w:r>
    </w:p>
  </w:footnote>
  <w:footnote w:type="continuationSeparator" w:id="1">
    <w:p w:rsidR="003F0962" w:rsidRDefault="003F0962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B2660D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B2660D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90429">
      <w:rPr>
        <w:rStyle w:val="af7"/>
      </w:rPr>
      <w:t>7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0962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6A85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A6333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0D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429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2021-07-20T12:37:00Z</dcterms:created>
  <dcterms:modified xsi:type="dcterms:W3CDTF">2021-07-20T12:37:00Z</dcterms:modified>
</cp:coreProperties>
</file>